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9D" w:rsidRPr="00ED2636" w:rsidRDefault="002A519D" w:rsidP="002A519D">
      <w:pPr>
        <w:pStyle w:val="Heading4"/>
        <w:spacing w:before="0" w:after="120" w:line="240" w:lineRule="auto"/>
        <w:jc w:val="center"/>
        <w:rPr>
          <w:rFonts w:asciiTheme="minorHAnsi" w:hAnsiTheme="minorHAnsi"/>
          <w:sz w:val="28"/>
          <w:szCs w:val="28"/>
        </w:rPr>
      </w:pPr>
      <w:bookmarkStart w:id="0" w:name="_GoBack"/>
      <w:bookmarkEnd w:id="0"/>
      <w:r>
        <w:rPr>
          <w:rFonts w:asciiTheme="minorHAnsi" w:hAnsiTheme="minorHAnsi"/>
          <w:sz w:val="28"/>
          <w:szCs w:val="28"/>
        </w:rPr>
        <w:t xml:space="preserve">Estimating the </w:t>
      </w:r>
      <w:r w:rsidRPr="002A519D">
        <w:rPr>
          <w:rFonts w:asciiTheme="minorHAnsi" w:hAnsiTheme="minorHAnsi"/>
          <w:i/>
          <w:sz w:val="28"/>
          <w:szCs w:val="28"/>
        </w:rPr>
        <w:t>Andromeda</w:t>
      </w:r>
      <w:r>
        <w:rPr>
          <w:rFonts w:asciiTheme="minorHAnsi" w:hAnsiTheme="minorHAnsi"/>
          <w:sz w:val="28"/>
          <w:szCs w:val="28"/>
        </w:rPr>
        <w:t xml:space="preserve"> catchability compared to the </w:t>
      </w:r>
      <w:r w:rsidRPr="002A519D">
        <w:rPr>
          <w:rFonts w:asciiTheme="minorHAnsi" w:hAnsiTheme="minorHAnsi"/>
          <w:i/>
          <w:sz w:val="28"/>
          <w:szCs w:val="28"/>
        </w:rPr>
        <w:t>Africana</w:t>
      </w:r>
      <w:r>
        <w:rPr>
          <w:rFonts w:asciiTheme="minorHAnsi" w:hAnsiTheme="minorHAnsi"/>
          <w:sz w:val="28"/>
          <w:szCs w:val="28"/>
        </w:rPr>
        <w:t xml:space="preserve"> for South African hake</w:t>
      </w:r>
      <w:r w:rsidR="00CE00B4">
        <w:rPr>
          <w:rFonts w:asciiTheme="minorHAnsi" w:hAnsiTheme="minorHAnsi"/>
          <w:sz w:val="28"/>
          <w:szCs w:val="28"/>
        </w:rPr>
        <w:t xml:space="preserve"> in an update of the Reference Case assessment</w:t>
      </w:r>
    </w:p>
    <w:p w:rsidR="00785339" w:rsidRPr="006431E2" w:rsidRDefault="00785339" w:rsidP="00AA32EC">
      <w:pPr>
        <w:pStyle w:val="Heading4"/>
        <w:spacing w:before="0" w:after="120" w:line="240" w:lineRule="auto"/>
        <w:jc w:val="center"/>
        <w:rPr>
          <w:rFonts w:asciiTheme="minorHAnsi" w:hAnsiTheme="minorHAnsi"/>
          <w:sz w:val="28"/>
          <w:szCs w:val="28"/>
        </w:rPr>
      </w:pPr>
    </w:p>
    <w:p w:rsidR="00AA32EC" w:rsidRPr="006431E2" w:rsidRDefault="00AA32EC" w:rsidP="00AA32EC">
      <w:pPr>
        <w:pStyle w:val="BodyText"/>
        <w:jc w:val="center"/>
        <w:rPr>
          <w:rFonts w:asciiTheme="minorHAnsi" w:hAnsiTheme="minorHAnsi"/>
          <w:sz w:val="20"/>
          <w:szCs w:val="20"/>
          <w:lang w:val="en-ZA"/>
        </w:rPr>
      </w:pPr>
    </w:p>
    <w:p w:rsidR="00AA32EC" w:rsidRPr="006431E2" w:rsidRDefault="00AA32EC" w:rsidP="00AA32EC">
      <w:pPr>
        <w:pStyle w:val="BodyText"/>
        <w:jc w:val="center"/>
        <w:rPr>
          <w:rFonts w:asciiTheme="minorHAnsi" w:hAnsiTheme="minorHAnsi"/>
          <w:sz w:val="20"/>
          <w:szCs w:val="20"/>
          <w:lang w:val="en-ZA"/>
        </w:rPr>
      </w:pPr>
      <w:r w:rsidRPr="006431E2">
        <w:rPr>
          <w:rFonts w:asciiTheme="minorHAnsi" w:hAnsiTheme="minorHAnsi"/>
          <w:sz w:val="20"/>
          <w:szCs w:val="20"/>
          <w:lang w:val="en-ZA"/>
        </w:rPr>
        <w:t>Rebecca A. Rademeyer and Doug S. Butterworth</w:t>
      </w:r>
    </w:p>
    <w:p w:rsidR="0043624C" w:rsidRPr="006431E2" w:rsidRDefault="0043624C" w:rsidP="00AA32EC">
      <w:pPr>
        <w:pStyle w:val="BodyText"/>
        <w:jc w:val="center"/>
        <w:rPr>
          <w:rFonts w:asciiTheme="minorHAnsi" w:hAnsiTheme="minorHAnsi"/>
          <w:sz w:val="20"/>
          <w:szCs w:val="20"/>
          <w:lang w:val="en-ZA"/>
        </w:rPr>
      </w:pPr>
    </w:p>
    <w:p w:rsidR="00AA32EC" w:rsidRPr="006431E2" w:rsidRDefault="006211E0" w:rsidP="00401EBC">
      <w:pPr>
        <w:pStyle w:val="BodyText"/>
        <w:spacing w:after="240"/>
        <w:jc w:val="center"/>
        <w:rPr>
          <w:rFonts w:asciiTheme="minorHAnsi" w:hAnsiTheme="minorHAnsi"/>
          <w:sz w:val="20"/>
          <w:szCs w:val="20"/>
          <w:lang w:val="en-ZA"/>
        </w:rPr>
      </w:pPr>
      <w:r>
        <w:rPr>
          <w:rFonts w:asciiTheme="minorHAnsi" w:hAnsiTheme="minorHAnsi"/>
          <w:sz w:val="20"/>
          <w:szCs w:val="20"/>
          <w:lang w:val="en-ZA"/>
        </w:rPr>
        <w:t>August</w:t>
      </w:r>
      <w:r w:rsidR="00AA32EC" w:rsidRPr="006431E2">
        <w:rPr>
          <w:rFonts w:asciiTheme="minorHAnsi" w:hAnsiTheme="minorHAnsi"/>
          <w:sz w:val="20"/>
          <w:szCs w:val="20"/>
          <w:lang w:val="en-ZA"/>
        </w:rPr>
        <w:t xml:space="preserve"> 2015</w:t>
      </w:r>
    </w:p>
    <w:p w:rsidR="00AA32EC" w:rsidRDefault="00AA32EC" w:rsidP="00AA32EC">
      <w:pPr>
        <w:pStyle w:val="BodyText"/>
        <w:rPr>
          <w:rFonts w:asciiTheme="minorHAnsi" w:hAnsiTheme="minorHAnsi"/>
          <w:sz w:val="22"/>
          <w:szCs w:val="22"/>
          <w:lang w:val="en-ZA"/>
        </w:rPr>
      </w:pPr>
    </w:p>
    <w:p w:rsidR="00351092" w:rsidRPr="00A30DBC" w:rsidRDefault="00351092" w:rsidP="00401EBC">
      <w:pPr>
        <w:pStyle w:val="BodyText"/>
        <w:jc w:val="center"/>
        <w:rPr>
          <w:rFonts w:asciiTheme="minorHAnsi" w:hAnsiTheme="minorHAnsi"/>
          <w:b/>
          <w:sz w:val="24"/>
          <w:lang w:val="en-ZA"/>
        </w:rPr>
      </w:pPr>
      <w:r w:rsidRPr="00A30DBC">
        <w:rPr>
          <w:rFonts w:asciiTheme="minorHAnsi" w:hAnsiTheme="minorHAnsi"/>
          <w:b/>
          <w:sz w:val="24"/>
          <w:lang w:val="en-ZA"/>
        </w:rPr>
        <w:t>Summary</w:t>
      </w:r>
    </w:p>
    <w:p w:rsidR="00351092" w:rsidRDefault="00351092" w:rsidP="00401EBC">
      <w:pPr>
        <w:pStyle w:val="BodyText"/>
        <w:jc w:val="center"/>
        <w:rPr>
          <w:rFonts w:asciiTheme="minorHAnsi" w:hAnsiTheme="minorHAnsi"/>
          <w:sz w:val="24"/>
          <w:lang w:val="en-ZA"/>
        </w:rPr>
      </w:pPr>
    </w:p>
    <w:p w:rsidR="00351092" w:rsidRPr="00401EBC" w:rsidRDefault="00303534" w:rsidP="00401EBC">
      <w:pPr>
        <w:pStyle w:val="BodyText"/>
        <w:spacing w:after="240"/>
        <w:ind w:left="1134" w:right="1134"/>
        <w:jc w:val="both"/>
        <w:rPr>
          <w:rFonts w:asciiTheme="minorHAnsi" w:hAnsiTheme="minorHAnsi"/>
          <w:sz w:val="22"/>
          <w:szCs w:val="22"/>
          <w:lang w:val="en-ZA"/>
        </w:rPr>
      </w:pPr>
      <w:r w:rsidRPr="00401EBC">
        <w:rPr>
          <w:rFonts w:asciiTheme="minorHAnsi" w:hAnsiTheme="minorHAnsi"/>
          <w:sz w:val="22"/>
          <w:szCs w:val="22"/>
          <w:lang w:val="en-ZA"/>
        </w:rPr>
        <w:t xml:space="preserve">The 2013 RS1 Reference Case assessment used for OMP testing is updated to include abundance indices which have become available for the following two years. Trends are hardly altered, though for </w:t>
      </w:r>
      <w:r w:rsidRPr="00401EBC">
        <w:rPr>
          <w:rFonts w:asciiTheme="minorHAnsi" w:hAnsiTheme="minorHAnsi"/>
          <w:i/>
          <w:sz w:val="22"/>
          <w:szCs w:val="22"/>
          <w:lang w:val="en-ZA"/>
        </w:rPr>
        <w:t>M. paradoxus</w:t>
      </w:r>
      <w:r w:rsidRPr="00401EBC">
        <w:rPr>
          <w:rFonts w:asciiTheme="minorHAnsi" w:hAnsiTheme="minorHAnsi"/>
          <w:sz w:val="22"/>
          <w:szCs w:val="22"/>
          <w:lang w:val="en-ZA"/>
        </w:rPr>
        <w:t xml:space="preserve"> a decline in spawning biomass over the most recent years is now evident. If instead of assuming that the catchability for the Andromeda and Africana are the same, their ratio is estimated in the assessment process, </w:t>
      </w:r>
      <w:r w:rsidR="00401EBC" w:rsidRPr="00401EBC">
        <w:rPr>
          <w:rFonts w:asciiTheme="minorHAnsi" w:hAnsiTheme="minorHAnsi"/>
          <w:sz w:val="22"/>
          <w:szCs w:val="22"/>
          <w:lang w:val="en-ZA"/>
        </w:rPr>
        <w:t>Andromeda is estimated to have a catchability 0.75 that of Africana with a 95% CI of (0.55; 1.03).</w:t>
      </w:r>
    </w:p>
    <w:p w:rsidR="00AA32EC" w:rsidRPr="006431E2" w:rsidRDefault="00AA32EC" w:rsidP="00A41350">
      <w:pPr>
        <w:pStyle w:val="BodyText"/>
        <w:jc w:val="both"/>
        <w:rPr>
          <w:rFonts w:asciiTheme="minorHAnsi" w:hAnsiTheme="minorHAnsi"/>
          <w:sz w:val="22"/>
          <w:szCs w:val="22"/>
          <w:lang w:val="en-ZA"/>
        </w:rPr>
      </w:pPr>
    </w:p>
    <w:p w:rsidR="00E41142" w:rsidRPr="006431E2" w:rsidRDefault="00E41142" w:rsidP="00A41350">
      <w:pPr>
        <w:pStyle w:val="BodyText"/>
        <w:jc w:val="both"/>
        <w:rPr>
          <w:rFonts w:asciiTheme="minorHAnsi" w:hAnsiTheme="minorHAnsi"/>
          <w:b/>
          <w:sz w:val="24"/>
          <w:lang w:val="en-ZA"/>
        </w:rPr>
      </w:pPr>
      <w:r w:rsidRPr="006431E2">
        <w:rPr>
          <w:rFonts w:asciiTheme="minorHAnsi" w:hAnsiTheme="minorHAnsi"/>
          <w:b/>
          <w:sz w:val="24"/>
          <w:lang w:val="en-ZA"/>
        </w:rPr>
        <w:t>Introduction</w:t>
      </w:r>
    </w:p>
    <w:p w:rsidR="00E41142" w:rsidRDefault="00C6178D" w:rsidP="00A41350">
      <w:pPr>
        <w:pStyle w:val="BodyText"/>
        <w:jc w:val="both"/>
        <w:rPr>
          <w:rFonts w:asciiTheme="minorHAnsi" w:hAnsiTheme="minorHAnsi"/>
          <w:sz w:val="22"/>
          <w:szCs w:val="22"/>
          <w:lang w:val="en-ZA"/>
        </w:rPr>
      </w:pPr>
      <w:r w:rsidRPr="006431E2">
        <w:rPr>
          <w:rFonts w:asciiTheme="minorHAnsi" w:hAnsiTheme="minorHAnsi"/>
          <w:sz w:val="22"/>
          <w:szCs w:val="22"/>
          <w:lang w:val="en-ZA"/>
        </w:rPr>
        <w:br/>
        <w:t xml:space="preserve">Due to ongoing problems with DAFF's survey vessel (the </w:t>
      </w:r>
      <w:r w:rsidRPr="006431E2">
        <w:rPr>
          <w:rFonts w:asciiTheme="minorHAnsi" w:hAnsiTheme="minorHAnsi"/>
          <w:i/>
          <w:sz w:val="22"/>
          <w:szCs w:val="22"/>
          <w:lang w:val="en-ZA"/>
        </w:rPr>
        <w:t>FRS Africana</w:t>
      </w:r>
      <w:r w:rsidRPr="006431E2">
        <w:rPr>
          <w:rFonts w:asciiTheme="minorHAnsi" w:hAnsiTheme="minorHAnsi"/>
          <w:sz w:val="22"/>
          <w:szCs w:val="22"/>
          <w:lang w:val="en-ZA"/>
        </w:rPr>
        <w:t xml:space="preserve">) a commercial hake trawler (the </w:t>
      </w:r>
      <w:r w:rsidRPr="006431E2">
        <w:rPr>
          <w:rFonts w:asciiTheme="minorHAnsi" w:hAnsiTheme="minorHAnsi"/>
          <w:i/>
          <w:sz w:val="22"/>
          <w:szCs w:val="22"/>
          <w:lang w:val="en-ZA"/>
        </w:rPr>
        <w:t>MV Andromeda</w:t>
      </w:r>
      <w:r w:rsidRPr="006431E2">
        <w:rPr>
          <w:rFonts w:asciiTheme="minorHAnsi" w:hAnsiTheme="minorHAnsi"/>
          <w:sz w:val="22"/>
          <w:szCs w:val="22"/>
          <w:lang w:val="en-ZA"/>
        </w:rPr>
        <w:t xml:space="preserve">) was adapted for scientific deployment and </w:t>
      </w:r>
      <w:r w:rsidR="00524CFD">
        <w:rPr>
          <w:rFonts w:asciiTheme="minorHAnsi" w:hAnsiTheme="minorHAnsi"/>
          <w:sz w:val="22"/>
          <w:szCs w:val="22"/>
          <w:lang w:val="en-ZA"/>
        </w:rPr>
        <w:t>has been</w:t>
      </w:r>
      <w:r w:rsidRPr="006431E2">
        <w:rPr>
          <w:rFonts w:asciiTheme="minorHAnsi" w:hAnsiTheme="minorHAnsi"/>
          <w:sz w:val="22"/>
          <w:szCs w:val="22"/>
          <w:lang w:val="en-ZA"/>
        </w:rPr>
        <w:t xml:space="preserve"> used for </w:t>
      </w:r>
      <w:r w:rsidR="002E4223" w:rsidRPr="006431E2">
        <w:rPr>
          <w:rFonts w:asciiTheme="minorHAnsi" w:hAnsiTheme="minorHAnsi"/>
          <w:sz w:val="22"/>
          <w:szCs w:val="22"/>
          <w:lang w:val="en-ZA"/>
        </w:rPr>
        <w:t>the demersal surveys since 2013, i.e. the west coast summer surveys in 2013</w:t>
      </w:r>
      <w:r w:rsidR="00095C0F">
        <w:rPr>
          <w:rFonts w:asciiTheme="minorHAnsi" w:hAnsiTheme="minorHAnsi"/>
          <w:sz w:val="22"/>
          <w:szCs w:val="22"/>
          <w:lang w:val="en-ZA"/>
        </w:rPr>
        <w:t>,</w:t>
      </w:r>
      <w:r w:rsidR="002E4223" w:rsidRPr="006431E2">
        <w:rPr>
          <w:rFonts w:asciiTheme="minorHAnsi" w:hAnsiTheme="minorHAnsi"/>
          <w:sz w:val="22"/>
          <w:szCs w:val="22"/>
          <w:lang w:val="en-ZA"/>
        </w:rPr>
        <w:t xml:space="preserve"> 2014</w:t>
      </w:r>
      <w:r w:rsidR="00095C0F">
        <w:rPr>
          <w:rFonts w:asciiTheme="minorHAnsi" w:hAnsiTheme="minorHAnsi"/>
          <w:sz w:val="22"/>
          <w:szCs w:val="22"/>
          <w:lang w:val="en-ZA"/>
        </w:rPr>
        <w:t xml:space="preserve"> and 2015</w:t>
      </w:r>
      <w:r w:rsidR="002E4223" w:rsidRPr="006431E2">
        <w:rPr>
          <w:rFonts w:asciiTheme="minorHAnsi" w:hAnsiTheme="minorHAnsi"/>
          <w:sz w:val="22"/>
          <w:szCs w:val="22"/>
          <w:lang w:val="en-ZA"/>
        </w:rPr>
        <w:t xml:space="preserve"> (AND001</w:t>
      </w:r>
      <w:r w:rsidR="00095C0F">
        <w:rPr>
          <w:rFonts w:asciiTheme="minorHAnsi" w:hAnsiTheme="minorHAnsi"/>
          <w:sz w:val="22"/>
          <w:szCs w:val="22"/>
          <w:lang w:val="en-ZA"/>
        </w:rPr>
        <w:t>,</w:t>
      </w:r>
      <w:r w:rsidR="002E4223" w:rsidRPr="006431E2">
        <w:rPr>
          <w:rFonts w:asciiTheme="minorHAnsi" w:hAnsiTheme="minorHAnsi"/>
          <w:sz w:val="22"/>
          <w:szCs w:val="22"/>
          <w:lang w:val="en-ZA"/>
        </w:rPr>
        <w:t xml:space="preserve"> AND002</w:t>
      </w:r>
      <w:r w:rsidR="00095C0F">
        <w:rPr>
          <w:rFonts w:asciiTheme="minorHAnsi" w:hAnsiTheme="minorHAnsi"/>
          <w:sz w:val="22"/>
          <w:szCs w:val="22"/>
          <w:lang w:val="en-ZA"/>
        </w:rPr>
        <w:t xml:space="preserve"> and AND004</w:t>
      </w:r>
      <w:r w:rsidR="002E4223" w:rsidRPr="006431E2">
        <w:rPr>
          <w:rFonts w:asciiTheme="minorHAnsi" w:hAnsiTheme="minorHAnsi"/>
          <w:sz w:val="22"/>
          <w:szCs w:val="22"/>
          <w:lang w:val="en-ZA"/>
        </w:rPr>
        <w:t xml:space="preserve">) and the south coast autumn surveys in 2014 and 2015 (AND003 and </w:t>
      </w:r>
      <w:r w:rsidR="00095C0F" w:rsidRPr="006431E2">
        <w:rPr>
          <w:rFonts w:asciiTheme="minorHAnsi" w:hAnsiTheme="minorHAnsi"/>
          <w:sz w:val="22"/>
          <w:szCs w:val="22"/>
          <w:lang w:val="en-ZA"/>
        </w:rPr>
        <w:t>AND00</w:t>
      </w:r>
      <w:r w:rsidR="00095C0F">
        <w:rPr>
          <w:rFonts w:asciiTheme="minorHAnsi" w:hAnsiTheme="minorHAnsi"/>
          <w:sz w:val="22"/>
          <w:szCs w:val="22"/>
          <w:lang w:val="en-ZA"/>
        </w:rPr>
        <w:t>5</w:t>
      </w:r>
      <w:r w:rsidR="002E4223" w:rsidRPr="006431E2">
        <w:rPr>
          <w:rFonts w:asciiTheme="minorHAnsi" w:hAnsiTheme="minorHAnsi"/>
          <w:sz w:val="22"/>
          <w:szCs w:val="22"/>
          <w:lang w:val="en-ZA"/>
        </w:rPr>
        <w:t xml:space="preserve">). Although the gear used on the </w:t>
      </w:r>
      <w:r w:rsidR="002E4223" w:rsidRPr="006431E2">
        <w:rPr>
          <w:rFonts w:asciiTheme="minorHAnsi" w:hAnsiTheme="minorHAnsi"/>
          <w:i/>
          <w:sz w:val="22"/>
          <w:szCs w:val="22"/>
          <w:lang w:val="en-ZA"/>
        </w:rPr>
        <w:t>Andromeda</w:t>
      </w:r>
      <w:r w:rsidR="002E4223" w:rsidRPr="006431E2">
        <w:rPr>
          <w:rFonts w:asciiTheme="minorHAnsi" w:hAnsiTheme="minorHAnsi"/>
          <w:sz w:val="22"/>
          <w:szCs w:val="22"/>
          <w:lang w:val="en-ZA"/>
        </w:rPr>
        <w:t xml:space="preserve"> is the same as on the </w:t>
      </w:r>
      <w:r w:rsidR="002E4223" w:rsidRPr="006431E2">
        <w:rPr>
          <w:rFonts w:asciiTheme="minorHAnsi" w:hAnsiTheme="minorHAnsi"/>
          <w:i/>
          <w:sz w:val="22"/>
          <w:szCs w:val="22"/>
          <w:lang w:val="en-ZA"/>
        </w:rPr>
        <w:t>Africana</w:t>
      </w:r>
      <w:r w:rsidR="002E4223" w:rsidRPr="006431E2">
        <w:rPr>
          <w:rFonts w:asciiTheme="minorHAnsi" w:hAnsiTheme="minorHAnsi"/>
          <w:sz w:val="22"/>
          <w:szCs w:val="22"/>
          <w:lang w:val="en-ZA"/>
        </w:rPr>
        <w:t xml:space="preserve">, the </w:t>
      </w:r>
      <w:r w:rsidR="002E4223" w:rsidRPr="006431E2">
        <w:rPr>
          <w:rFonts w:asciiTheme="minorHAnsi" w:hAnsiTheme="minorHAnsi"/>
          <w:i/>
          <w:sz w:val="22"/>
          <w:szCs w:val="22"/>
          <w:lang w:val="en-ZA"/>
        </w:rPr>
        <w:t>Andromeda</w:t>
      </w:r>
      <w:r w:rsidR="002E4223" w:rsidRPr="006431E2">
        <w:rPr>
          <w:rFonts w:asciiTheme="minorHAnsi" w:hAnsiTheme="minorHAnsi"/>
          <w:sz w:val="22"/>
          <w:szCs w:val="22"/>
          <w:lang w:val="en-ZA"/>
        </w:rPr>
        <w:t xml:space="preserve"> survey results have not yet been use</w:t>
      </w:r>
      <w:r w:rsidR="00524CFD">
        <w:rPr>
          <w:rFonts w:asciiTheme="minorHAnsi" w:hAnsiTheme="minorHAnsi"/>
          <w:sz w:val="22"/>
          <w:szCs w:val="22"/>
          <w:lang w:val="en-ZA"/>
        </w:rPr>
        <w:t>d</w:t>
      </w:r>
      <w:r w:rsidR="002E4223" w:rsidRPr="006431E2">
        <w:rPr>
          <w:rFonts w:asciiTheme="minorHAnsi" w:hAnsiTheme="minorHAnsi"/>
          <w:sz w:val="22"/>
          <w:szCs w:val="22"/>
          <w:lang w:val="en-ZA"/>
        </w:rPr>
        <w:t xml:space="preserve"> in the stock </w:t>
      </w:r>
      <w:r w:rsidR="002E4223" w:rsidRPr="00401EBC">
        <w:rPr>
          <w:rFonts w:asciiTheme="minorHAnsi" w:hAnsiTheme="minorHAnsi"/>
          <w:b/>
          <w:sz w:val="22"/>
          <w:szCs w:val="22"/>
          <w:lang w:val="en-ZA"/>
        </w:rPr>
        <w:t>assessments</w:t>
      </w:r>
      <w:r w:rsidR="002E4223" w:rsidRPr="006431E2">
        <w:rPr>
          <w:rFonts w:asciiTheme="minorHAnsi" w:hAnsiTheme="minorHAnsi"/>
          <w:sz w:val="22"/>
          <w:szCs w:val="22"/>
          <w:lang w:val="en-ZA"/>
        </w:rPr>
        <w:t xml:space="preserve"> due to the need for further gear calibration to standardise the results with the historical </w:t>
      </w:r>
      <w:r w:rsidR="002E4223" w:rsidRPr="006431E2">
        <w:rPr>
          <w:rFonts w:asciiTheme="minorHAnsi" w:hAnsiTheme="minorHAnsi"/>
          <w:i/>
          <w:sz w:val="22"/>
          <w:szCs w:val="22"/>
          <w:lang w:val="en-ZA"/>
        </w:rPr>
        <w:t>Africana</w:t>
      </w:r>
      <w:r w:rsidR="002E4223" w:rsidRPr="006431E2">
        <w:rPr>
          <w:rFonts w:asciiTheme="minorHAnsi" w:hAnsiTheme="minorHAnsi"/>
          <w:sz w:val="22"/>
          <w:szCs w:val="22"/>
          <w:lang w:val="en-ZA"/>
        </w:rPr>
        <w:t xml:space="preserve"> data.</w:t>
      </w:r>
      <w:r w:rsidR="00607CEB">
        <w:rPr>
          <w:rFonts w:asciiTheme="minorHAnsi" w:hAnsiTheme="minorHAnsi"/>
          <w:sz w:val="22"/>
          <w:szCs w:val="22"/>
          <w:lang w:val="en-ZA"/>
        </w:rPr>
        <w:t xml:space="preserve"> (</w:t>
      </w:r>
      <w:r w:rsidR="00395F6F">
        <w:rPr>
          <w:rFonts w:asciiTheme="minorHAnsi" w:hAnsiTheme="minorHAnsi"/>
          <w:sz w:val="22"/>
          <w:szCs w:val="22"/>
          <w:lang w:val="en-ZA"/>
        </w:rPr>
        <w:t xml:space="preserve">Results of and projections for future </w:t>
      </w:r>
      <w:r w:rsidR="00395F6F" w:rsidRPr="00401EBC">
        <w:rPr>
          <w:rFonts w:asciiTheme="minorHAnsi" w:hAnsiTheme="minorHAnsi"/>
          <w:i/>
          <w:sz w:val="22"/>
          <w:szCs w:val="22"/>
          <w:lang w:val="en-ZA"/>
        </w:rPr>
        <w:t>Andromeda</w:t>
      </w:r>
      <w:r w:rsidR="00395F6F">
        <w:rPr>
          <w:rFonts w:asciiTheme="minorHAnsi" w:hAnsiTheme="minorHAnsi"/>
          <w:sz w:val="22"/>
          <w:szCs w:val="22"/>
          <w:lang w:val="en-ZA"/>
        </w:rPr>
        <w:t xml:space="preserve"> surveys were however used in OMP tests under certain assumptions concerning the </w:t>
      </w:r>
      <w:r w:rsidR="00395F6F" w:rsidRPr="00401EBC">
        <w:rPr>
          <w:rFonts w:asciiTheme="minorHAnsi" w:hAnsiTheme="minorHAnsi"/>
          <w:i/>
          <w:sz w:val="22"/>
          <w:szCs w:val="22"/>
          <w:lang w:val="en-ZA"/>
        </w:rPr>
        <w:t>Andromeda</w:t>
      </w:r>
      <w:r w:rsidR="00395F6F">
        <w:rPr>
          <w:rFonts w:asciiTheme="minorHAnsi" w:hAnsiTheme="minorHAnsi"/>
          <w:sz w:val="22"/>
          <w:szCs w:val="22"/>
          <w:lang w:val="en-ZA"/>
        </w:rPr>
        <w:t xml:space="preserve"> catchability relative to </w:t>
      </w:r>
      <w:r w:rsidR="00395F6F" w:rsidRPr="00401EBC">
        <w:rPr>
          <w:rFonts w:asciiTheme="minorHAnsi" w:hAnsiTheme="minorHAnsi"/>
          <w:i/>
          <w:sz w:val="22"/>
          <w:szCs w:val="22"/>
          <w:lang w:val="en-ZA"/>
        </w:rPr>
        <w:t>Africana.</w:t>
      </w:r>
      <w:r w:rsidR="00395F6F">
        <w:rPr>
          <w:rFonts w:asciiTheme="minorHAnsi" w:hAnsiTheme="minorHAnsi"/>
          <w:sz w:val="22"/>
          <w:szCs w:val="22"/>
          <w:lang w:val="en-ZA"/>
        </w:rPr>
        <w:t>)</w:t>
      </w:r>
    </w:p>
    <w:p w:rsidR="00524CFD" w:rsidRPr="006431E2" w:rsidRDefault="00524CFD" w:rsidP="00A41350">
      <w:pPr>
        <w:pStyle w:val="BodyText"/>
        <w:jc w:val="both"/>
        <w:rPr>
          <w:rFonts w:asciiTheme="minorHAnsi" w:hAnsiTheme="minorHAnsi"/>
          <w:sz w:val="22"/>
          <w:szCs w:val="22"/>
          <w:lang w:val="en-ZA"/>
        </w:rPr>
      </w:pPr>
    </w:p>
    <w:p w:rsidR="002E4223" w:rsidRPr="006431E2" w:rsidRDefault="002E4223" w:rsidP="00A41350">
      <w:pPr>
        <w:pStyle w:val="BodyText"/>
        <w:jc w:val="both"/>
        <w:rPr>
          <w:rFonts w:asciiTheme="minorHAnsi" w:hAnsiTheme="minorHAnsi"/>
          <w:sz w:val="22"/>
          <w:szCs w:val="22"/>
          <w:lang w:val="en-ZA"/>
        </w:rPr>
      </w:pPr>
      <w:r w:rsidRPr="006431E2">
        <w:rPr>
          <w:rFonts w:asciiTheme="minorHAnsi" w:hAnsiTheme="minorHAnsi"/>
          <w:sz w:val="22"/>
          <w:szCs w:val="22"/>
          <w:lang w:val="en-ZA"/>
        </w:rPr>
        <w:t>In this paper, the 2013 Reference Case assessment (RS1, Rademeyer and Butterworth, 2014) is updated to include</w:t>
      </w:r>
      <w:r w:rsidR="006431E2" w:rsidRPr="006431E2">
        <w:rPr>
          <w:rFonts w:asciiTheme="minorHAnsi" w:hAnsiTheme="minorHAnsi"/>
          <w:sz w:val="22"/>
          <w:szCs w:val="22"/>
          <w:lang w:val="en-ZA"/>
        </w:rPr>
        <w:t xml:space="preserve"> the </w:t>
      </w:r>
      <w:r w:rsidR="006431E2" w:rsidRPr="006431E2">
        <w:rPr>
          <w:rFonts w:asciiTheme="minorHAnsi" w:hAnsiTheme="minorHAnsi"/>
          <w:i/>
          <w:sz w:val="22"/>
          <w:szCs w:val="22"/>
          <w:lang w:val="en-ZA"/>
        </w:rPr>
        <w:t>Andromeda</w:t>
      </w:r>
      <w:r w:rsidR="006431E2" w:rsidRPr="006431E2">
        <w:rPr>
          <w:rFonts w:asciiTheme="minorHAnsi" w:hAnsiTheme="minorHAnsi"/>
          <w:sz w:val="22"/>
          <w:szCs w:val="22"/>
          <w:lang w:val="en-ZA"/>
        </w:rPr>
        <w:t xml:space="preserve"> survey data (as well as updated catch and CPUE series)</w:t>
      </w:r>
      <w:r w:rsidR="00883A77">
        <w:rPr>
          <w:rFonts w:asciiTheme="minorHAnsi" w:hAnsiTheme="minorHAnsi"/>
          <w:sz w:val="22"/>
          <w:szCs w:val="22"/>
          <w:lang w:val="en-ZA"/>
        </w:rPr>
        <w:t xml:space="preserve"> and estimate</w:t>
      </w:r>
      <w:r w:rsidR="006431E2" w:rsidRPr="006431E2">
        <w:rPr>
          <w:rFonts w:asciiTheme="minorHAnsi" w:hAnsiTheme="minorHAnsi"/>
          <w:sz w:val="22"/>
          <w:szCs w:val="22"/>
          <w:lang w:val="en-ZA"/>
        </w:rPr>
        <w:t xml:space="preserve"> </w:t>
      </w:r>
      <w:r w:rsidR="00883A77">
        <w:rPr>
          <w:rFonts w:asciiTheme="minorHAnsi" w:hAnsiTheme="minorHAnsi"/>
          <w:sz w:val="22"/>
          <w:szCs w:val="22"/>
          <w:lang w:val="en-ZA"/>
        </w:rPr>
        <w:t>a</w:t>
      </w:r>
      <w:r w:rsidR="006431E2" w:rsidRPr="006431E2">
        <w:rPr>
          <w:rFonts w:asciiTheme="minorHAnsi" w:hAnsiTheme="minorHAnsi"/>
          <w:sz w:val="22"/>
          <w:szCs w:val="22"/>
          <w:lang w:val="en-ZA"/>
        </w:rPr>
        <w:t xml:space="preserve"> ratio </w:t>
      </w:r>
      <w:r w:rsidR="008075EA">
        <w:rPr>
          <w:rFonts w:asciiTheme="minorHAnsi" w:hAnsiTheme="minorHAnsi"/>
          <w:sz w:val="22"/>
          <w:szCs w:val="22"/>
          <w:lang w:val="en-ZA"/>
        </w:rPr>
        <w:t xml:space="preserve">for the </w:t>
      </w:r>
      <w:r w:rsidR="00DA3EDB" w:rsidRPr="00DA3EDB">
        <w:rPr>
          <w:rFonts w:asciiTheme="minorHAnsi" w:hAnsiTheme="minorHAnsi"/>
          <w:i/>
          <w:sz w:val="22"/>
          <w:szCs w:val="22"/>
          <w:lang w:val="en-ZA"/>
        </w:rPr>
        <w:t>Andromeda</w:t>
      </w:r>
      <w:r w:rsidR="008075EA" w:rsidRPr="006431E2">
        <w:rPr>
          <w:rFonts w:asciiTheme="minorHAnsi" w:hAnsiTheme="minorHAnsi"/>
          <w:sz w:val="22"/>
          <w:szCs w:val="22"/>
          <w:lang w:val="en-ZA"/>
        </w:rPr>
        <w:t>/</w:t>
      </w:r>
      <w:r w:rsidR="00DA3EDB" w:rsidRPr="00DA3EDB">
        <w:rPr>
          <w:rFonts w:asciiTheme="minorHAnsi" w:hAnsiTheme="minorHAnsi"/>
          <w:i/>
          <w:sz w:val="22"/>
          <w:szCs w:val="22"/>
          <w:lang w:val="en-ZA"/>
        </w:rPr>
        <w:t>Africana</w:t>
      </w:r>
      <w:r w:rsidR="00DA3EDB" w:rsidRPr="006431E2">
        <w:rPr>
          <w:rFonts w:asciiTheme="minorHAnsi" w:hAnsiTheme="minorHAnsi"/>
          <w:sz w:val="22"/>
          <w:szCs w:val="22"/>
          <w:lang w:val="en-ZA"/>
        </w:rPr>
        <w:t xml:space="preserve"> </w:t>
      </w:r>
      <w:r w:rsidR="005A12B2">
        <w:rPr>
          <w:rFonts w:asciiTheme="minorHAnsi" w:hAnsiTheme="minorHAnsi"/>
          <w:sz w:val="22"/>
          <w:szCs w:val="22"/>
          <w:lang w:val="en-ZA"/>
        </w:rPr>
        <w:t>catchability coefficients</w:t>
      </w:r>
      <w:r w:rsidR="008075EA">
        <w:rPr>
          <w:rFonts w:asciiTheme="minorHAnsi" w:hAnsiTheme="minorHAnsi"/>
          <w:sz w:val="22"/>
          <w:szCs w:val="22"/>
          <w:lang w:val="en-ZA"/>
        </w:rPr>
        <w:t xml:space="preserve"> (</w:t>
      </w:r>
      <w:r w:rsidR="008075EA" w:rsidRPr="008075EA">
        <w:rPr>
          <w:rFonts w:ascii="Symbol" w:hAnsi="Symbol"/>
          <w:i/>
          <w:sz w:val="22"/>
          <w:szCs w:val="22"/>
          <w:lang w:val="en-ZA"/>
        </w:rPr>
        <w:t></w:t>
      </w:r>
      <w:r w:rsidR="008075EA">
        <w:rPr>
          <w:rFonts w:asciiTheme="minorHAnsi" w:hAnsiTheme="minorHAnsi"/>
          <w:sz w:val="22"/>
          <w:szCs w:val="22"/>
          <w:lang w:val="en-ZA"/>
        </w:rPr>
        <w:t>)</w:t>
      </w:r>
      <w:r w:rsidR="006431E2" w:rsidRPr="006431E2">
        <w:rPr>
          <w:rFonts w:asciiTheme="minorHAnsi" w:hAnsiTheme="minorHAnsi"/>
          <w:sz w:val="22"/>
          <w:szCs w:val="22"/>
          <w:lang w:val="en-ZA"/>
        </w:rPr>
        <w:t>.</w:t>
      </w:r>
      <w:r w:rsidR="000340C9">
        <w:rPr>
          <w:rFonts w:asciiTheme="minorHAnsi" w:hAnsiTheme="minorHAnsi"/>
          <w:sz w:val="22"/>
          <w:szCs w:val="22"/>
          <w:lang w:val="en-ZA"/>
        </w:rPr>
        <w:t xml:space="preserve"> The update has been carried out as a two-steps process, first taking data to 2014 into account, then to 2015.</w:t>
      </w:r>
    </w:p>
    <w:p w:rsidR="002E4223" w:rsidRPr="006431E2" w:rsidRDefault="002E4223" w:rsidP="00785339">
      <w:pPr>
        <w:pStyle w:val="BodyText"/>
        <w:spacing w:after="120"/>
        <w:jc w:val="both"/>
        <w:rPr>
          <w:rFonts w:asciiTheme="minorHAnsi" w:hAnsiTheme="minorHAnsi"/>
        </w:rPr>
      </w:pPr>
    </w:p>
    <w:p w:rsidR="006431E2" w:rsidRPr="006431E2" w:rsidRDefault="006431E2" w:rsidP="00785339">
      <w:pPr>
        <w:pStyle w:val="BodyText"/>
        <w:spacing w:after="120"/>
        <w:jc w:val="both"/>
        <w:rPr>
          <w:rFonts w:asciiTheme="minorHAnsi" w:hAnsiTheme="minorHAnsi"/>
        </w:rPr>
      </w:pPr>
      <w:r w:rsidRPr="006431E2">
        <w:rPr>
          <w:rFonts w:asciiTheme="minorHAnsi" w:hAnsiTheme="minorHAnsi"/>
          <w:b/>
          <w:sz w:val="24"/>
          <w:lang w:val="en-ZA"/>
        </w:rPr>
        <w:t>Data and Methods</w:t>
      </w:r>
    </w:p>
    <w:p w:rsidR="006431E2" w:rsidRPr="007129A9" w:rsidRDefault="006431E2" w:rsidP="00785339">
      <w:pPr>
        <w:pStyle w:val="BodyText"/>
        <w:spacing w:after="120"/>
        <w:jc w:val="both"/>
        <w:rPr>
          <w:rFonts w:asciiTheme="minorHAnsi" w:hAnsiTheme="minorHAnsi"/>
          <w:sz w:val="22"/>
          <w:szCs w:val="22"/>
        </w:rPr>
      </w:pPr>
      <w:r w:rsidRPr="00524CFD">
        <w:rPr>
          <w:rFonts w:asciiTheme="minorHAnsi" w:hAnsiTheme="minorHAnsi"/>
          <w:sz w:val="22"/>
          <w:szCs w:val="22"/>
        </w:rPr>
        <w:t>The updated data (compared to those used in RS1, Rademeyer and Butterworth, 2014) are given in</w:t>
      </w:r>
      <w:r w:rsidR="00217F70" w:rsidRPr="00524CFD">
        <w:rPr>
          <w:rFonts w:asciiTheme="minorHAnsi" w:hAnsiTheme="minorHAnsi"/>
          <w:sz w:val="22"/>
          <w:szCs w:val="22"/>
        </w:rPr>
        <w:t xml:space="preserve"> Appendix A</w:t>
      </w:r>
      <w:r w:rsidRPr="007129A9">
        <w:rPr>
          <w:rFonts w:asciiTheme="minorHAnsi" w:hAnsiTheme="minorHAnsi"/>
          <w:sz w:val="22"/>
          <w:szCs w:val="22"/>
        </w:rPr>
        <w:t>.</w:t>
      </w:r>
    </w:p>
    <w:p w:rsidR="001531B7" w:rsidRPr="00524CFD" w:rsidRDefault="007E2C4A" w:rsidP="00217F70">
      <w:pPr>
        <w:pStyle w:val="BodyText"/>
        <w:spacing w:before="120"/>
        <w:jc w:val="both"/>
        <w:rPr>
          <w:rFonts w:ascii="Calibri" w:hAnsi="Calibri" w:cs="Calibri"/>
          <w:sz w:val="22"/>
          <w:szCs w:val="22"/>
        </w:rPr>
      </w:pPr>
      <w:r w:rsidRPr="007E2C4A">
        <w:rPr>
          <w:rFonts w:ascii="Calibri" w:hAnsi="Calibri" w:cs="Calibri"/>
          <w:sz w:val="22"/>
          <w:szCs w:val="22"/>
        </w:rPr>
        <w:t xml:space="preserve">The Andromeda survey biomass estimates are used as input to the model assuming that the </w:t>
      </w:r>
      <w:r w:rsidRPr="007E2C4A">
        <w:rPr>
          <w:rFonts w:ascii="Calibri" w:hAnsi="Calibri" w:cs="Calibri"/>
          <w:i/>
          <w:sz w:val="22"/>
          <w:szCs w:val="22"/>
        </w:rPr>
        <w:t>Andromeda</w:t>
      </w:r>
      <w:r w:rsidR="005A12B2">
        <w:rPr>
          <w:rFonts w:ascii="Calibri" w:hAnsi="Calibri" w:cs="Calibri"/>
          <w:sz w:val="22"/>
          <w:szCs w:val="22"/>
        </w:rPr>
        <w:t xml:space="preserve"> </w:t>
      </w:r>
      <w:proofErr w:type="spellStart"/>
      <w:r w:rsidR="005A12B2">
        <w:rPr>
          <w:rFonts w:ascii="Calibri" w:hAnsi="Calibri" w:cs="Calibri"/>
          <w:sz w:val="22"/>
          <w:szCs w:val="22"/>
        </w:rPr>
        <w:t>catchability</w:t>
      </w:r>
      <w:proofErr w:type="spellEnd"/>
      <w:r w:rsidR="005A12B2">
        <w:rPr>
          <w:rFonts w:ascii="Calibri" w:hAnsi="Calibri" w:cs="Calibri"/>
          <w:sz w:val="22"/>
          <w:szCs w:val="22"/>
        </w:rPr>
        <w:t xml:space="preserve"> coe</w:t>
      </w:r>
      <w:r w:rsidR="00EB128A">
        <w:rPr>
          <w:rFonts w:ascii="Calibri" w:hAnsi="Calibri" w:cs="Calibri"/>
          <w:sz w:val="22"/>
          <w:szCs w:val="22"/>
        </w:rPr>
        <w:t>f</w:t>
      </w:r>
      <w:r w:rsidR="005A12B2">
        <w:rPr>
          <w:rFonts w:ascii="Calibri" w:hAnsi="Calibri" w:cs="Calibri"/>
          <w:sz w:val="22"/>
          <w:szCs w:val="22"/>
        </w:rPr>
        <w:t>ficient</w:t>
      </w:r>
      <w:r w:rsidRPr="007E2C4A">
        <w:rPr>
          <w:rFonts w:ascii="Calibri" w:hAnsi="Calibri" w:cs="Calibri"/>
          <w:sz w:val="22"/>
          <w:szCs w:val="22"/>
        </w:rPr>
        <w:t xml:space="preserve"> </w:t>
      </w:r>
      <w:r w:rsidR="00BD6D5E" w:rsidRPr="00524CFD">
        <w:rPr>
          <w:rFonts w:ascii="Calibri" w:hAnsi="Calibri" w:cs="Calibri"/>
          <w:position w:val="-10"/>
          <w:sz w:val="22"/>
          <w:szCs w:val="22"/>
        </w:rPr>
        <w:object w:dxaOrig="7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8pt" o:ole="" fillcolor="window">
            <v:imagedata r:id="rId9" o:title=""/>
          </v:shape>
          <o:OLEObject Type="Embed" ProgID="Equation.3" ShapeID="_x0000_i1025" DrawAspect="Content" ObjectID="_1388065852" r:id="rId10"/>
        </w:object>
      </w:r>
      <w:r w:rsidRPr="007E2C4A">
        <w:rPr>
          <w:rFonts w:ascii="Calibri" w:hAnsi="Calibri" w:cs="Calibri"/>
          <w:sz w:val="22"/>
          <w:szCs w:val="22"/>
        </w:rPr>
        <w:t xml:space="preserve"> is proportional to that of the </w:t>
      </w:r>
      <w:r w:rsidRPr="007E2C4A">
        <w:rPr>
          <w:rFonts w:ascii="Calibri" w:hAnsi="Calibri" w:cs="Calibri"/>
          <w:i/>
          <w:sz w:val="22"/>
          <w:szCs w:val="22"/>
        </w:rPr>
        <w:t>Africana</w:t>
      </w:r>
      <w:r w:rsidRPr="007E2C4A">
        <w:rPr>
          <w:rFonts w:ascii="Calibri" w:hAnsi="Calibri" w:cs="Calibri"/>
          <w:sz w:val="22"/>
          <w:szCs w:val="22"/>
        </w:rPr>
        <w:t>:</w:t>
      </w:r>
    </w:p>
    <w:p w:rsidR="00217F70" w:rsidRPr="00524CFD" w:rsidRDefault="007E2C4A" w:rsidP="00217F70">
      <w:pPr>
        <w:pStyle w:val="BodyText"/>
        <w:spacing w:before="120"/>
        <w:jc w:val="both"/>
        <w:rPr>
          <w:rFonts w:ascii="Calibri" w:hAnsi="Calibri" w:cs="Calibri"/>
          <w:sz w:val="22"/>
          <w:szCs w:val="22"/>
        </w:rPr>
      </w:pPr>
      <w:r w:rsidRPr="007E2C4A">
        <w:rPr>
          <w:rFonts w:ascii="Calibri" w:hAnsi="Calibri" w:cs="Calibri"/>
          <w:sz w:val="22"/>
          <w:szCs w:val="22"/>
        </w:rPr>
        <w:t xml:space="preserve"> </w:t>
      </w:r>
      <w:r w:rsidR="007129A9">
        <w:rPr>
          <w:rFonts w:ascii="Calibri" w:hAnsi="Calibri" w:cs="Calibri"/>
          <w:sz w:val="22"/>
          <w:szCs w:val="22"/>
        </w:rPr>
        <w:tab/>
      </w:r>
      <w:r w:rsidR="00BD6D5E" w:rsidRPr="00524CFD">
        <w:rPr>
          <w:rFonts w:ascii="Calibri" w:hAnsi="Calibri" w:cs="Calibri"/>
          <w:position w:val="-10"/>
          <w:sz w:val="22"/>
          <w:szCs w:val="22"/>
        </w:rPr>
        <w:object w:dxaOrig="1900" w:dyaOrig="340">
          <v:shape id="_x0000_i1026" type="#_x0000_t75" style="width:95pt;height:18pt" o:ole="" fillcolor="window">
            <v:imagedata r:id="rId11" o:title=""/>
          </v:shape>
          <o:OLEObject Type="Embed" ProgID="Equation.3" ShapeID="_x0000_i1026" DrawAspect="Content" ObjectID="_1388065853" r:id="rId12"/>
        </w:object>
      </w:r>
      <w:r w:rsidRPr="007E2C4A">
        <w:rPr>
          <w:rFonts w:ascii="Calibri" w:hAnsi="Calibri" w:cs="Calibri"/>
          <w:sz w:val="22"/>
          <w:szCs w:val="22"/>
        </w:rPr>
        <w:tab/>
      </w:r>
      <w:r w:rsidRPr="007E2C4A">
        <w:rPr>
          <w:rFonts w:ascii="Calibri" w:hAnsi="Calibri" w:cs="Calibri"/>
          <w:sz w:val="22"/>
          <w:szCs w:val="22"/>
        </w:rPr>
        <w:tab/>
      </w:r>
      <w:r w:rsidRPr="007E2C4A">
        <w:rPr>
          <w:rFonts w:ascii="Calibri" w:hAnsi="Calibri" w:cs="Calibri"/>
          <w:sz w:val="22"/>
          <w:szCs w:val="22"/>
        </w:rPr>
        <w:tab/>
      </w:r>
      <w:r w:rsidRPr="007E2C4A">
        <w:rPr>
          <w:rFonts w:ascii="Calibri" w:hAnsi="Calibri" w:cs="Calibri"/>
          <w:sz w:val="22"/>
          <w:szCs w:val="22"/>
        </w:rPr>
        <w:tab/>
      </w:r>
      <w:r w:rsidRPr="007E2C4A">
        <w:rPr>
          <w:rFonts w:ascii="Calibri" w:hAnsi="Calibri" w:cs="Calibri"/>
          <w:sz w:val="22"/>
          <w:szCs w:val="22"/>
        </w:rPr>
        <w:tab/>
      </w:r>
      <w:r w:rsidRPr="007E2C4A">
        <w:rPr>
          <w:rFonts w:ascii="Calibri" w:hAnsi="Calibri" w:cs="Calibri"/>
          <w:sz w:val="22"/>
          <w:szCs w:val="22"/>
        </w:rPr>
        <w:tab/>
      </w:r>
      <w:r w:rsidRPr="007E2C4A">
        <w:rPr>
          <w:rFonts w:ascii="Calibri" w:hAnsi="Calibri" w:cs="Calibri"/>
          <w:sz w:val="22"/>
          <w:szCs w:val="22"/>
        </w:rPr>
        <w:tab/>
      </w:r>
      <w:r w:rsidRPr="007E2C4A">
        <w:rPr>
          <w:rFonts w:ascii="Calibri" w:hAnsi="Calibri" w:cs="Calibri"/>
          <w:sz w:val="22"/>
          <w:szCs w:val="22"/>
        </w:rPr>
        <w:tab/>
      </w:r>
      <w:r w:rsidRPr="007E2C4A">
        <w:rPr>
          <w:rFonts w:ascii="Calibri" w:hAnsi="Calibri" w:cs="Calibri"/>
          <w:sz w:val="22"/>
          <w:szCs w:val="22"/>
        </w:rPr>
        <w:tab/>
        <w:t>(1)</w:t>
      </w:r>
    </w:p>
    <w:p w:rsidR="000B1027" w:rsidRPr="00524CFD" w:rsidRDefault="00395F6F" w:rsidP="00217F70">
      <w:pPr>
        <w:pStyle w:val="BodyText"/>
        <w:spacing w:before="120"/>
        <w:jc w:val="both"/>
        <w:rPr>
          <w:rFonts w:ascii="Calibri" w:hAnsi="Calibri" w:cs="Calibri"/>
          <w:sz w:val="22"/>
          <w:szCs w:val="22"/>
        </w:rPr>
      </w:pPr>
      <w:r w:rsidRPr="00524CFD">
        <w:rPr>
          <w:rFonts w:ascii="Calibri" w:hAnsi="Calibri" w:cs="Calibri"/>
          <w:position w:val="-10"/>
          <w:sz w:val="22"/>
          <w:szCs w:val="22"/>
        </w:rPr>
        <w:object w:dxaOrig="220" w:dyaOrig="240">
          <v:shape id="_x0000_i1027" type="#_x0000_t75" style="width:7pt;height:12pt" o:ole="" fillcolor="window">
            <v:imagedata r:id="rId13" o:title=""/>
          </v:shape>
          <o:OLEObject Type="Embed" ProgID="Equation.3" ShapeID="_x0000_i1027" DrawAspect="Content" ObjectID="_1388065854" r:id="rId14"/>
        </w:object>
      </w:r>
      <w:r w:rsidR="007E2C4A" w:rsidRPr="007E2C4A">
        <w:rPr>
          <w:rFonts w:ascii="Calibri" w:hAnsi="Calibri" w:cs="Calibri"/>
          <w:sz w:val="22"/>
          <w:szCs w:val="22"/>
        </w:rPr>
        <w:t xml:space="preserve"> </w:t>
      </w:r>
      <w:proofErr w:type="gramStart"/>
      <w:r w:rsidR="007E2C4A" w:rsidRPr="007E2C4A">
        <w:rPr>
          <w:rFonts w:ascii="Calibri" w:hAnsi="Calibri" w:cs="Calibri"/>
          <w:sz w:val="22"/>
          <w:szCs w:val="22"/>
        </w:rPr>
        <w:t>is</w:t>
      </w:r>
      <w:proofErr w:type="gramEnd"/>
      <w:r w:rsidR="007E2C4A" w:rsidRPr="007E2C4A">
        <w:rPr>
          <w:rFonts w:ascii="Calibri" w:hAnsi="Calibri" w:cs="Calibri"/>
          <w:sz w:val="22"/>
          <w:szCs w:val="22"/>
        </w:rPr>
        <w:t xml:space="preserve"> either fixed or estimated in the model fitting procedure. A single</w:t>
      </w:r>
      <w:r w:rsidR="008D02E6" w:rsidRPr="00524CFD">
        <w:rPr>
          <w:rFonts w:ascii="Calibri" w:hAnsi="Calibri" w:cs="Calibri"/>
          <w:position w:val="-10"/>
          <w:sz w:val="22"/>
          <w:szCs w:val="22"/>
        </w:rPr>
        <w:object w:dxaOrig="220" w:dyaOrig="240">
          <v:shape id="_x0000_i1028" type="#_x0000_t75" style="width:11pt;height:12pt" o:ole="" fillcolor="window">
            <v:imagedata r:id="rId15" o:title=""/>
          </v:shape>
          <o:OLEObject Type="Embed" ProgID="Equation.3" ShapeID="_x0000_i1028" DrawAspect="Content" ObjectID="_1388065855" r:id="rId16"/>
        </w:object>
      </w:r>
      <w:r w:rsidR="007E2C4A" w:rsidRPr="007E2C4A">
        <w:rPr>
          <w:rFonts w:ascii="Calibri" w:hAnsi="Calibri" w:cs="Calibri"/>
          <w:sz w:val="22"/>
          <w:szCs w:val="22"/>
        </w:rPr>
        <w:t>is estimated (across species, coasts and seasons).</w:t>
      </w:r>
    </w:p>
    <w:p w:rsidR="000B1027" w:rsidRPr="00524CFD" w:rsidRDefault="007E2C4A" w:rsidP="00217F70">
      <w:pPr>
        <w:pStyle w:val="BodyText"/>
        <w:spacing w:before="120"/>
        <w:jc w:val="both"/>
        <w:rPr>
          <w:rFonts w:ascii="Calibri" w:hAnsi="Calibri" w:cs="Calibri"/>
          <w:sz w:val="22"/>
          <w:szCs w:val="22"/>
        </w:rPr>
      </w:pPr>
      <w:r w:rsidRPr="007E2C4A">
        <w:rPr>
          <w:rFonts w:ascii="Calibri" w:hAnsi="Calibri" w:cs="Calibri"/>
          <w:sz w:val="22"/>
          <w:szCs w:val="22"/>
        </w:rPr>
        <w:t xml:space="preserve">The survey </w:t>
      </w:r>
      <w:proofErr w:type="spellStart"/>
      <w:r w:rsidRPr="007E2C4A">
        <w:rPr>
          <w:rFonts w:ascii="Calibri" w:hAnsi="Calibri" w:cs="Calibri"/>
          <w:sz w:val="22"/>
          <w:szCs w:val="22"/>
        </w:rPr>
        <w:t>selectivities</w:t>
      </w:r>
      <w:proofErr w:type="spellEnd"/>
      <w:r w:rsidRPr="007E2C4A">
        <w:rPr>
          <w:rFonts w:ascii="Calibri" w:hAnsi="Calibri" w:cs="Calibri"/>
          <w:sz w:val="22"/>
          <w:szCs w:val="22"/>
        </w:rPr>
        <w:t xml:space="preserve"> are taken to be the same for the </w:t>
      </w:r>
      <w:r w:rsidRPr="007E2C4A">
        <w:rPr>
          <w:rFonts w:ascii="Calibri" w:hAnsi="Calibri" w:cs="Calibri"/>
          <w:i/>
          <w:sz w:val="22"/>
          <w:szCs w:val="22"/>
        </w:rPr>
        <w:t>Africana</w:t>
      </w:r>
      <w:r w:rsidRPr="007E2C4A">
        <w:rPr>
          <w:rFonts w:ascii="Calibri" w:hAnsi="Calibri" w:cs="Calibri"/>
          <w:sz w:val="22"/>
          <w:szCs w:val="22"/>
        </w:rPr>
        <w:t xml:space="preserve"> and the </w:t>
      </w:r>
      <w:r w:rsidRPr="007E2C4A">
        <w:rPr>
          <w:rFonts w:ascii="Calibri" w:hAnsi="Calibri" w:cs="Calibri"/>
          <w:i/>
          <w:sz w:val="22"/>
          <w:szCs w:val="22"/>
        </w:rPr>
        <w:t>Andromeda</w:t>
      </w:r>
      <w:r w:rsidRPr="007E2C4A">
        <w:rPr>
          <w:rFonts w:ascii="Calibri" w:hAnsi="Calibri" w:cs="Calibri"/>
          <w:sz w:val="22"/>
          <w:szCs w:val="22"/>
        </w:rPr>
        <w:t>.</w:t>
      </w:r>
    </w:p>
    <w:p w:rsidR="000B1027" w:rsidRPr="00524CFD" w:rsidRDefault="000B1027" w:rsidP="00785339">
      <w:pPr>
        <w:pStyle w:val="BodyText"/>
        <w:spacing w:after="120"/>
        <w:jc w:val="both"/>
        <w:rPr>
          <w:rFonts w:ascii="Calibri" w:hAnsi="Calibri" w:cs="Calibri"/>
          <w:sz w:val="22"/>
          <w:szCs w:val="22"/>
        </w:rPr>
      </w:pPr>
    </w:p>
    <w:p w:rsidR="00E41142" w:rsidRPr="006431E2" w:rsidRDefault="00E41142" w:rsidP="00785339">
      <w:pPr>
        <w:pStyle w:val="BodyText"/>
        <w:spacing w:after="120"/>
        <w:jc w:val="both"/>
        <w:rPr>
          <w:rFonts w:asciiTheme="minorHAnsi" w:hAnsiTheme="minorHAnsi"/>
          <w:b/>
          <w:sz w:val="24"/>
          <w:lang w:val="en-ZA"/>
        </w:rPr>
      </w:pPr>
      <w:r w:rsidRPr="006431E2">
        <w:rPr>
          <w:rFonts w:asciiTheme="minorHAnsi" w:hAnsiTheme="minorHAnsi"/>
          <w:b/>
          <w:sz w:val="24"/>
          <w:lang w:val="en-ZA"/>
        </w:rPr>
        <w:t>Results and Discussion</w:t>
      </w:r>
    </w:p>
    <w:p w:rsidR="00056841" w:rsidRPr="00524CFD" w:rsidRDefault="000340C9" w:rsidP="00056841">
      <w:pPr>
        <w:pStyle w:val="BodyText"/>
        <w:spacing w:after="120"/>
        <w:jc w:val="both"/>
        <w:rPr>
          <w:rFonts w:asciiTheme="minorHAnsi" w:hAnsiTheme="minorHAnsi"/>
          <w:sz w:val="22"/>
          <w:szCs w:val="22"/>
          <w:lang w:val="en-ZA"/>
        </w:rPr>
      </w:pPr>
      <w:r>
        <w:rPr>
          <w:rFonts w:asciiTheme="minorHAnsi" w:hAnsiTheme="minorHAnsi"/>
          <w:sz w:val="22"/>
          <w:szCs w:val="22"/>
          <w:lang w:val="en-ZA"/>
        </w:rPr>
        <w:t>Five</w:t>
      </w:r>
      <w:r w:rsidRPr="007E2C4A">
        <w:rPr>
          <w:rFonts w:asciiTheme="minorHAnsi" w:hAnsiTheme="minorHAnsi"/>
          <w:sz w:val="22"/>
          <w:szCs w:val="22"/>
          <w:lang w:val="en-ZA"/>
        </w:rPr>
        <w:t xml:space="preserve"> </w:t>
      </w:r>
      <w:r w:rsidR="007E2C4A" w:rsidRPr="007E2C4A">
        <w:rPr>
          <w:rFonts w:asciiTheme="minorHAnsi" w:hAnsiTheme="minorHAnsi"/>
          <w:sz w:val="22"/>
          <w:szCs w:val="22"/>
          <w:lang w:val="en-ZA"/>
        </w:rPr>
        <w:t>runs are compared:</w:t>
      </w:r>
    </w:p>
    <w:p w:rsidR="00056841" w:rsidRPr="00524CFD" w:rsidRDefault="007E2C4A" w:rsidP="000B1027">
      <w:pPr>
        <w:pStyle w:val="BodyText"/>
        <w:numPr>
          <w:ilvl w:val="0"/>
          <w:numId w:val="2"/>
        </w:numPr>
        <w:spacing w:after="60"/>
        <w:ind w:left="360"/>
        <w:jc w:val="both"/>
        <w:rPr>
          <w:rFonts w:asciiTheme="minorHAnsi" w:hAnsiTheme="minorHAnsi"/>
          <w:sz w:val="22"/>
          <w:szCs w:val="22"/>
          <w:lang w:val="en-ZA"/>
        </w:rPr>
      </w:pPr>
      <w:r w:rsidRPr="007E2C4A">
        <w:rPr>
          <w:rFonts w:asciiTheme="minorHAnsi" w:hAnsiTheme="minorHAnsi"/>
          <w:sz w:val="22"/>
          <w:szCs w:val="22"/>
          <w:lang w:val="en-ZA"/>
        </w:rPr>
        <w:t xml:space="preserve">"RS1" (Rademeyer and Butterworth, 2014) with data to 2013 and not using the 2013 </w:t>
      </w:r>
      <w:r w:rsidRPr="007E2C4A">
        <w:rPr>
          <w:rFonts w:asciiTheme="minorHAnsi" w:hAnsiTheme="minorHAnsi"/>
          <w:i/>
          <w:sz w:val="22"/>
          <w:szCs w:val="22"/>
          <w:lang w:val="en-ZA"/>
        </w:rPr>
        <w:t>Andromeda</w:t>
      </w:r>
      <w:r w:rsidRPr="007E2C4A">
        <w:rPr>
          <w:rFonts w:asciiTheme="minorHAnsi" w:hAnsiTheme="minorHAnsi"/>
          <w:sz w:val="22"/>
          <w:szCs w:val="22"/>
          <w:lang w:val="en-ZA"/>
        </w:rPr>
        <w:t xml:space="preserve"> biomass estimate</w:t>
      </w:r>
      <w:r w:rsidR="005A12B2">
        <w:rPr>
          <w:rFonts w:asciiTheme="minorHAnsi" w:hAnsiTheme="minorHAnsi"/>
          <w:sz w:val="22"/>
          <w:szCs w:val="22"/>
          <w:lang w:val="en-ZA"/>
        </w:rPr>
        <w:t>s</w:t>
      </w:r>
      <w:r w:rsidR="007129A9">
        <w:rPr>
          <w:rFonts w:asciiTheme="minorHAnsi" w:hAnsiTheme="minorHAnsi"/>
          <w:sz w:val="22"/>
          <w:szCs w:val="22"/>
          <w:lang w:val="en-ZA"/>
        </w:rPr>
        <w:t>.</w:t>
      </w:r>
    </w:p>
    <w:p w:rsidR="00056841" w:rsidRPr="00524CFD" w:rsidRDefault="007E2C4A" w:rsidP="000B1027">
      <w:pPr>
        <w:pStyle w:val="BodyText"/>
        <w:numPr>
          <w:ilvl w:val="0"/>
          <w:numId w:val="2"/>
        </w:numPr>
        <w:spacing w:after="60"/>
        <w:ind w:left="360"/>
        <w:jc w:val="both"/>
        <w:rPr>
          <w:rFonts w:asciiTheme="minorHAnsi" w:hAnsiTheme="minorHAnsi" w:cs="Calibri"/>
          <w:sz w:val="22"/>
          <w:szCs w:val="22"/>
        </w:rPr>
      </w:pPr>
      <w:r w:rsidRPr="007E2C4A">
        <w:rPr>
          <w:rFonts w:asciiTheme="minorHAnsi" w:hAnsiTheme="minorHAnsi"/>
          <w:sz w:val="22"/>
          <w:szCs w:val="22"/>
          <w:lang w:val="en-ZA"/>
        </w:rPr>
        <w:t>"ratio=1</w:t>
      </w:r>
      <w:r w:rsidR="000340C9">
        <w:rPr>
          <w:rFonts w:asciiTheme="minorHAnsi" w:hAnsiTheme="minorHAnsi"/>
          <w:sz w:val="22"/>
          <w:szCs w:val="22"/>
          <w:lang w:val="en-ZA"/>
        </w:rPr>
        <w:t xml:space="preserve"> - data to 2014</w:t>
      </w:r>
      <w:r w:rsidRPr="007E2C4A">
        <w:rPr>
          <w:rFonts w:asciiTheme="minorHAnsi" w:hAnsiTheme="minorHAnsi"/>
          <w:sz w:val="22"/>
          <w:szCs w:val="22"/>
          <w:lang w:val="en-ZA"/>
        </w:rPr>
        <w:t>": As RS1 but with data extended to 2014 (new GLM-standardised CPUE</w:t>
      </w:r>
      <w:r w:rsidR="000340C9">
        <w:rPr>
          <w:rFonts w:asciiTheme="minorHAnsi" w:hAnsiTheme="minorHAnsi"/>
          <w:sz w:val="22"/>
          <w:szCs w:val="22"/>
          <w:lang w:val="en-ZA"/>
        </w:rPr>
        <w:t xml:space="preserve"> (to 2013)</w:t>
      </w:r>
      <w:r w:rsidRPr="007E2C4A">
        <w:rPr>
          <w:rFonts w:asciiTheme="minorHAnsi" w:hAnsiTheme="minorHAnsi"/>
          <w:sz w:val="22"/>
          <w:szCs w:val="22"/>
          <w:lang w:val="en-ZA"/>
        </w:rPr>
        <w:t>, surveys</w:t>
      </w:r>
      <w:r w:rsidR="005A12B2">
        <w:rPr>
          <w:rFonts w:asciiTheme="minorHAnsi" w:hAnsiTheme="minorHAnsi"/>
          <w:sz w:val="22"/>
          <w:szCs w:val="22"/>
          <w:lang w:val="en-ZA"/>
        </w:rPr>
        <w:t xml:space="preserve"> by </w:t>
      </w:r>
      <w:r w:rsidR="005A12B2" w:rsidRPr="005A12B2">
        <w:rPr>
          <w:rFonts w:asciiTheme="minorHAnsi" w:hAnsiTheme="minorHAnsi"/>
          <w:i/>
          <w:sz w:val="22"/>
          <w:szCs w:val="22"/>
          <w:lang w:val="en-ZA"/>
        </w:rPr>
        <w:t>Andromeda</w:t>
      </w:r>
      <w:r w:rsidRPr="007E2C4A">
        <w:rPr>
          <w:rFonts w:asciiTheme="minorHAnsi" w:hAnsiTheme="minorHAnsi"/>
          <w:sz w:val="22"/>
          <w:szCs w:val="22"/>
          <w:lang w:val="en-ZA"/>
        </w:rPr>
        <w:t xml:space="preserve"> </w:t>
      </w:r>
      <w:r w:rsidR="000340C9">
        <w:rPr>
          <w:rFonts w:asciiTheme="minorHAnsi" w:hAnsiTheme="minorHAnsi"/>
          <w:sz w:val="22"/>
          <w:szCs w:val="22"/>
          <w:lang w:val="en-ZA"/>
        </w:rPr>
        <w:t xml:space="preserve">to 2014 </w:t>
      </w:r>
      <w:r w:rsidRPr="007E2C4A">
        <w:rPr>
          <w:rFonts w:asciiTheme="minorHAnsi" w:hAnsiTheme="minorHAnsi"/>
          <w:sz w:val="22"/>
          <w:szCs w:val="22"/>
          <w:lang w:val="en-ZA"/>
        </w:rPr>
        <w:t>and catches</w:t>
      </w:r>
      <w:r w:rsidR="000340C9">
        <w:rPr>
          <w:rFonts w:asciiTheme="minorHAnsi" w:hAnsiTheme="minorHAnsi"/>
          <w:sz w:val="22"/>
          <w:szCs w:val="22"/>
          <w:lang w:val="en-ZA"/>
        </w:rPr>
        <w:t xml:space="preserve"> (with 2014 catches taken as the TAC for that year split by species and fleet using the 2013 proportions</w:t>
      </w:r>
      <w:r w:rsidRPr="007E2C4A">
        <w:rPr>
          <w:rFonts w:asciiTheme="minorHAnsi" w:hAnsiTheme="minorHAnsi"/>
          <w:sz w:val="22"/>
          <w:szCs w:val="22"/>
          <w:lang w:val="en-ZA"/>
        </w:rPr>
        <w:t xml:space="preserve">), with </w:t>
      </w:r>
      <w:r w:rsidR="00CB7C25" w:rsidRPr="00524CFD">
        <w:rPr>
          <w:rFonts w:ascii="Calibri" w:hAnsi="Calibri" w:cs="Calibri"/>
          <w:position w:val="-10"/>
          <w:sz w:val="22"/>
          <w:szCs w:val="22"/>
        </w:rPr>
        <w:object w:dxaOrig="499" w:dyaOrig="279">
          <v:shape id="_x0000_i1029" type="#_x0000_t75" style="width:26pt;height:14pt" o:ole="" fillcolor="window">
            <v:imagedata r:id="rId17" o:title=""/>
          </v:shape>
          <o:OLEObject Type="Embed" ProgID="Equation.3" ShapeID="_x0000_i1029" DrawAspect="Content" ObjectID="_1388065856" r:id="rId18"/>
        </w:object>
      </w:r>
      <w:r w:rsidRPr="007E2C4A">
        <w:rPr>
          <w:rFonts w:asciiTheme="minorHAnsi" w:hAnsiTheme="minorHAnsi" w:cs="Calibri"/>
          <w:sz w:val="22"/>
          <w:szCs w:val="22"/>
        </w:rPr>
        <w:t>.</w:t>
      </w:r>
    </w:p>
    <w:p w:rsidR="00CB7C25" w:rsidRDefault="007E2C4A" w:rsidP="00CB7C25">
      <w:pPr>
        <w:pStyle w:val="BodyText"/>
        <w:numPr>
          <w:ilvl w:val="0"/>
          <w:numId w:val="2"/>
        </w:numPr>
        <w:spacing w:after="120"/>
        <w:ind w:left="360"/>
        <w:jc w:val="both"/>
        <w:rPr>
          <w:rFonts w:asciiTheme="minorHAnsi" w:hAnsiTheme="minorHAnsi" w:cs="Calibri"/>
          <w:sz w:val="22"/>
          <w:szCs w:val="22"/>
        </w:rPr>
      </w:pPr>
      <w:r w:rsidRPr="007E2C4A">
        <w:rPr>
          <w:rFonts w:asciiTheme="minorHAnsi" w:hAnsiTheme="minorHAnsi" w:cs="Calibri"/>
          <w:sz w:val="22"/>
          <w:szCs w:val="22"/>
        </w:rPr>
        <w:t>"</w:t>
      </w:r>
      <w:proofErr w:type="gramStart"/>
      <w:r w:rsidRPr="007E2C4A">
        <w:rPr>
          <w:rFonts w:asciiTheme="minorHAnsi" w:hAnsiTheme="minorHAnsi" w:cs="Calibri"/>
          <w:sz w:val="22"/>
          <w:szCs w:val="22"/>
        </w:rPr>
        <w:t>ratio</w:t>
      </w:r>
      <w:proofErr w:type="gramEnd"/>
      <w:r w:rsidRPr="007E2C4A">
        <w:rPr>
          <w:rFonts w:asciiTheme="minorHAnsi" w:hAnsiTheme="minorHAnsi" w:cs="Calibri"/>
          <w:sz w:val="22"/>
          <w:szCs w:val="22"/>
        </w:rPr>
        <w:t>=</w:t>
      </w:r>
      <w:proofErr w:type="spellStart"/>
      <w:r w:rsidRPr="007E2C4A">
        <w:rPr>
          <w:rFonts w:asciiTheme="minorHAnsi" w:hAnsiTheme="minorHAnsi" w:cs="Calibri"/>
          <w:sz w:val="22"/>
          <w:szCs w:val="22"/>
        </w:rPr>
        <w:t>est</w:t>
      </w:r>
      <w:proofErr w:type="spellEnd"/>
      <w:r w:rsidR="000340C9">
        <w:rPr>
          <w:rFonts w:asciiTheme="minorHAnsi" w:hAnsiTheme="minorHAnsi" w:cs="Calibri"/>
          <w:sz w:val="22"/>
          <w:szCs w:val="22"/>
        </w:rPr>
        <w:t xml:space="preserve"> - data to 2014</w:t>
      </w:r>
      <w:r w:rsidRPr="007E2C4A">
        <w:rPr>
          <w:rFonts w:asciiTheme="minorHAnsi" w:hAnsiTheme="minorHAnsi" w:cs="Calibri"/>
          <w:sz w:val="22"/>
          <w:szCs w:val="22"/>
        </w:rPr>
        <w:t>": As "ratio=1</w:t>
      </w:r>
      <w:r w:rsidR="000340C9">
        <w:rPr>
          <w:rFonts w:asciiTheme="minorHAnsi" w:hAnsiTheme="minorHAnsi" w:cs="Calibri"/>
          <w:sz w:val="22"/>
          <w:szCs w:val="22"/>
        </w:rPr>
        <w:t xml:space="preserve"> - data to 2014</w:t>
      </w:r>
      <w:r w:rsidRPr="007E2C4A">
        <w:rPr>
          <w:rFonts w:asciiTheme="minorHAnsi" w:hAnsiTheme="minorHAnsi" w:cs="Calibri"/>
          <w:sz w:val="22"/>
          <w:szCs w:val="22"/>
        </w:rPr>
        <w:t xml:space="preserve">" but with the </w:t>
      </w:r>
      <w:r w:rsidR="00CB7C25" w:rsidRPr="00524CFD">
        <w:rPr>
          <w:rFonts w:ascii="Calibri" w:hAnsi="Calibri" w:cs="Calibri"/>
          <w:position w:val="-10"/>
          <w:sz w:val="22"/>
          <w:szCs w:val="22"/>
        </w:rPr>
        <w:object w:dxaOrig="220" w:dyaOrig="240">
          <v:shape id="_x0000_i1030" type="#_x0000_t75" style="width:11pt;height:12pt" o:ole="" fillcolor="window">
            <v:imagedata r:id="rId19" o:title=""/>
          </v:shape>
          <o:OLEObject Type="Embed" ProgID="Equation.3" ShapeID="_x0000_i1030" DrawAspect="Content" ObjectID="_1388065857" r:id="rId20"/>
        </w:object>
      </w:r>
      <w:r w:rsidRPr="007E2C4A">
        <w:rPr>
          <w:rFonts w:asciiTheme="minorHAnsi" w:hAnsiTheme="minorHAnsi" w:cs="Calibri"/>
          <w:sz w:val="22"/>
          <w:szCs w:val="22"/>
        </w:rPr>
        <w:t>estimated in the model fitting.</w:t>
      </w:r>
    </w:p>
    <w:p w:rsidR="000340C9" w:rsidRDefault="000340C9" w:rsidP="00CB7C25">
      <w:pPr>
        <w:pStyle w:val="BodyText"/>
        <w:numPr>
          <w:ilvl w:val="0"/>
          <w:numId w:val="2"/>
        </w:numPr>
        <w:spacing w:after="120"/>
        <w:ind w:left="360"/>
        <w:jc w:val="both"/>
        <w:rPr>
          <w:rFonts w:asciiTheme="minorHAnsi" w:hAnsiTheme="minorHAnsi" w:cs="Calibri"/>
          <w:sz w:val="22"/>
          <w:szCs w:val="22"/>
        </w:rPr>
      </w:pPr>
      <w:r>
        <w:rPr>
          <w:rFonts w:asciiTheme="minorHAnsi" w:hAnsiTheme="minorHAnsi" w:cs="Calibri"/>
          <w:sz w:val="22"/>
          <w:szCs w:val="22"/>
        </w:rPr>
        <w:t>"</w:t>
      </w:r>
      <w:proofErr w:type="gramStart"/>
      <w:r>
        <w:rPr>
          <w:rFonts w:asciiTheme="minorHAnsi" w:hAnsiTheme="minorHAnsi" w:cs="Calibri"/>
          <w:sz w:val="22"/>
          <w:szCs w:val="22"/>
        </w:rPr>
        <w:t>ratio</w:t>
      </w:r>
      <w:proofErr w:type="gramEnd"/>
      <w:r>
        <w:rPr>
          <w:rFonts w:asciiTheme="minorHAnsi" w:hAnsiTheme="minorHAnsi" w:cs="Calibri"/>
          <w:sz w:val="22"/>
          <w:szCs w:val="22"/>
        </w:rPr>
        <w:t>=1 -data to 2015": As "ratio=1 - data to 2014" but with data extended to 2015</w:t>
      </w:r>
      <w:r w:rsidR="00395F6F">
        <w:rPr>
          <w:rFonts w:asciiTheme="minorHAnsi" w:hAnsiTheme="minorHAnsi" w:cs="Calibri"/>
          <w:sz w:val="22"/>
          <w:szCs w:val="22"/>
        </w:rPr>
        <w:t xml:space="preserve"> (with actual catches made for 2014 and the 2015 TAC assumed taken and split by species and fleet using the 2014 proportions) </w:t>
      </w:r>
      <w:r>
        <w:rPr>
          <w:rFonts w:asciiTheme="minorHAnsi" w:hAnsiTheme="minorHAnsi" w:cs="Calibri"/>
          <w:sz w:val="22"/>
          <w:szCs w:val="22"/>
        </w:rPr>
        <w:t>.</w:t>
      </w:r>
    </w:p>
    <w:p w:rsidR="000340C9" w:rsidRDefault="000340C9" w:rsidP="000340C9">
      <w:pPr>
        <w:pStyle w:val="BodyText"/>
        <w:numPr>
          <w:ilvl w:val="0"/>
          <w:numId w:val="2"/>
        </w:numPr>
        <w:spacing w:after="120"/>
        <w:ind w:left="360"/>
        <w:jc w:val="both"/>
        <w:rPr>
          <w:rFonts w:asciiTheme="minorHAnsi" w:hAnsiTheme="minorHAnsi" w:cs="Calibri"/>
          <w:sz w:val="22"/>
          <w:szCs w:val="22"/>
        </w:rPr>
      </w:pPr>
      <w:r w:rsidRPr="000340C9">
        <w:rPr>
          <w:rFonts w:asciiTheme="minorHAnsi" w:hAnsiTheme="minorHAnsi" w:cs="Calibri"/>
          <w:sz w:val="22"/>
          <w:szCs w:val="22"/>
        </w:rPr>
        <w:t>"</w:t>
      </w:r>
      <w:proofErr w:type="gramStart"/>
      <w:r w:rsidRPr="000340C9">
        <w:rPr>
          <w:rFonts w:asciiTheme="minorHAnsi" w:hAnsiTheme="minorHAnsi" w:cs="Calibri"/>
          <w:sz w:val="22"/>
          <w:szCs w:val="22"/>
        </w:rPr>
        <w:t>ratio</w:t>
      </w:r>
      <w:proofErr w:type="gramEnd"/>
      <w:r w:rsidRPr="000340C9">
        <w:rPr>
          <w:rFonts w:asciiTheme="minorHAnsi" w:hAnsiTheme="minorHAnsi" w:cs="Calibri"/>
          <w:sz w:val="22"/>
          <w:szCs w:val="22"/>
        </w:rPr>
        <w:t>=</w:t>
      </w:r>
      <w:proofErr w:type="spellStart"/>
      <w:r w:rsidRPr="000340C9">
        <w:rPr>
          <w:rFonts w:asciiTheme="minorHAnsi" w:hAnsiTheme="minorHAnsi" w:cs="Calibri"/>
          <w:sz w:val="22"/>
          <w:szCs w:val="22"/>
        </w:rPr>
        <w:t>est</w:t>
      </w:r>
      <w:proofErr w:type="spellEnd"/>
      <w:r w:rsidRPr="000340C9">
        <w:rPr>
          <w:rFonts w:asciiTheme="minorHAnsi" w:hAnsiTheme="minorHAnsi" w:cs="Calibri"/>
          <w:sz w:val="22"/>
          <w:szCs w:val="22"/>
        </w:rPr>
        <w:t xml:space="preserve"> - data to 2015</w:t>
      </w:r>
      <w:r w:rsidRPr="007E2C4A">
        <w:rPr>
          <w:rFonts w:asciiTheme="minorHAnsi" w:hAnsiTheme="minorHAnsi" w:cs="Calibri"/>
          <w:sz w:val="22"/>
          <w:szCs w:val="22"/>
        </w:rPr>
        <w:t>": As "ratio=1</w:t>
      </w:r>
      <w:r>
        <w:rPr>
          <w:rFonts w:asciiTheme="minorHAnsi" w:hAnsiTheme="minorHAnsi" w:cs="Calibri"/>
          <w:sz w:val="22"/>
          <w:szCs w:val="22"/>
        </w:rPr>
        <w:t xml:space="preserve"> - data to 2015</w:t>
      </w:r>
      <w:r w:rsidRPr="007E2C4A">
        <w:rPr>
          <w:rFonts w:asciiTheme="minorHAnsi" w:hAnsiTheme="minorHAnsi" w:cs="Calibri"/>
          <w:sz w:val="22"/>
          <w:szCs w:val="22"/>
        </w:rPr>
        <w:t xml:space="preserve">" but with the </w:t>
      </w:r>
      <w:r w:rsidRPr="00524CFD">
        <w:rPr>
          <w:rFonts w:ascii="Calibri" w:hAnsi="Calibri" w:cs="Calibri"/>
          <w:position w:val="-10"/>
          <w:sz w:val="22"/>
          <w:szCs w:val="22"/>
        </w:rPr>
        <w:object w:dxaOrig="220" w:dyaOrig="240">
          <v:shape id="_x0000_i1031" type="#_x0000_t75" style="width:11pt;height:12pt" o:ole="" fillcolor="window">
            <v:imagedata r:id="rId21" o:title=""/>
          </v:shape>
          <o:OLEObject Type="Embed" ProgID="Equation.3" ShapeID="_x0000_i1031" DrawAspect="Content" ObjectID="_1388065858" r:id="rId22"/>
        </w:object>
      </w:r>
      <w:r w:rsidRPr="007E2C4A">
        <w:rPr>
          <w:rFonts w:asciiTheme="minorHAnsi" w:hAnsiTheme="minorHAnsi" w:cs="Calibri"/>
          <w:sz w:val="22"/>
          <w:szCs w:val="22"/>
        </w:rPr>
        <w:t>estimated in the model fitting.</w:t>
      </w:r>
    </w:p>
    <w:p w:rsidR="00FE0ADF" w:rsidRPr="00524CFD" w:rsidRDefault="007E2C4A" w:rsidP="00CB7C25">
      <w:pPr>
        <w:pStyle w:val="BodyText"/>
        <w:spacing w:after="120"/>
        <w:jc w:val="both"/>
        <w:rPr>
          <w:rFonts w:asciiTheme="minorHAnsi" w:hAnsiTheme="minorHAnsi"/>
          <w:sz w:val="22"/>
          <w:szCs w:val="22"/>
          <w:lang w:val="en-ZA"/>
        </w:rPr>
      </w:pPr>
      <w:r w:rsidRPr="000340C9">
        <w:rPr>
          <w:rFonts w:asciiTheme="minorHAnsi" w:hAnsiTheme="minorHAnsi"/>
          <w:sz w:val="22"/>
          <w:szCs w:val="22"/>
          <w:lang w:val="en-ZA"/>
        </w:rPr>
        <w:t>Results are given in Table 1. The</w:t>
      </w:r>
      <w:r w:rsidRPr="000340C9">
        <w:rPr>
          <w:rFonts w:ascii="Calibri" w:hAnsi="Calibri" w:cs="Calibri"/>
          <w:sz w:val="22"/>
          <w:szCs w:val="22"/>
          <w:lang w:val="en-ZA"/>
        </w:rPr>
        <w:t xml:space="preserve"> </w:t>
      </w:r>
      <w:r w:rsidR="001B7462" w:rsidRPr="000340C9">
        <w:rPr>
          <w:rFonts w:ascii="Calibri" w:hAnsi="Calibri" w:cs="Calibri"/>
          <w:position w:val="-10"/>
          <w:sz w:val="22"/>
          <w:szCs w:val="22"/>
        </w:rPr>
        <w:object w:dxaOrig="1680" w:dyaOrig="340">
          <v:shape id="_x0000_i1032" type="#_x0000_t75" style="width:84pt;height:18pt" o:ole="" fillcolor="window">
            <v:imagedata r:id="rId23" o:title=""/>
          </v:shape>
          <o:OLEObject Type="Embed" ProgID="Equation.3" ShapeID="_x0000_i1032" DrawAspect="Content" ObjectID="_1388065859" r:id="rId24"/>
        </w:object>
      </w:r>
      <w:r w:rsidRPr="000340C9">
        <w:rPr>
          <w:rFonts w:ascii="Calibri" w:hAnsi="Calibri" w:cs="Calibri"/>
          <w:sz w:val="22"/>
          <w:szCs w:val="22"/>
        </w:rPr>
        <w:t xml:space="preserve"> ratio is estimated to be 0.68 in the "ratio=</w:t>
      </w:r>
      <w:proofErr w:type="spellStart"/>
      <w:r w:rsidRPr="000340C9">
        <w:rPr>
          <w:rFonts w:ascii="Calibri" w:hAnsi="Calibri" w:cs="Calibri"/>
          <w:sz w:val="22"/>
          <w:szCs w:val="22"/>
        </w:rPr>
        <w:t>est</w:t>
      </w:r>
      <w:proofErr w:type="spellEnd"/>
      <w:r w:rsidR="000340C9">
        <w:rPr>
          <w:rFonts w:ascii="Calibri" w:hAnsi="Calibri" w:cs="Calibri"/>
          <w:sz w:val="22"/>
          <w:szCs w:val="22"/>
        </w:rPr>
        <w:t xml:space="preserve"> - data to 2014</w:t>
      </w:r>
      <w:r w:rsidRPr="000340C9">
        <w:rPr>
          <w:rFonts w:ascii="Calibri" w:hAnsi="Calibri" w:cs="Calibri"/>
          <w:sz w:val="22"/>
          <w:szCs w:val="22"/>
        </w:rPr>
        <w:t>" case</w:t>
      </w:r>
      <w:r w:rsidR="005A12B2" w:rsidRPr="000340C9">
        <w:rPr>
          <w:rFonts w:ascii="Calibri" w:hAnsi="Calibri" w:cs="Calibri"/>
          <w:sz w:val="22"/>
          <w:szCs w:val="22"/>
        </w:rPr>
        <w:t>, with a 95% probability interval</w:t>
      </w:r>
      <w:r w:rsidRPr="000340C9">
        <w:rPr>
          <w:rFonts w:asciiTheme="minorHAnsi" w:hAnsiTheme="minorHAnsi" w:cs="Calibri"/>
          <w:sz w:val="22"/>
          <w:szCs w:val="22"/>
          <w:lang w:val="en-ZA"/>
        </w:rPr>
        <w:t xml:space="preserve"> </w:t>
      </w:r>
      <w:r w:rsidRPr="000340C9">
        <w:rPr>
          <w:rFonts w:asciiTheme="minorHAnsi" w:hAnsiTheme="minorHAnsi"/>
          <w:sz w:val="22"/>
          <w:szCs w:val="22"/>
          <w:lang w:val="en-ZA"/>
        </w:rPr>
        <w:t>(0.44; 1.02)</w:t>
      </w:r>
      <w:r w:rsidR="005A12B2" w:rsidRPr="000340C9">
        <w:rPr>
          <w:rFonts w:asciiTheme="minorHAnsi" w:hAnsiTheme="minorHAnsi"/>
          <w:sz w:val="22"/>
          <w:szCs w:val="22"/>
          <w:lang w:val="en-ZA"/>
        </w:rPr>
        <w:t xml:space="preserve"> as estimated using a likelihood profile</w:t>
      </w:r>
      <w:r w:rsidR="00CE00B4" w:rsidRPr="000340C9">
        <w:rPr>
          <w:rFonts w:asciiTheme="minorHAnsi" w:hAnsiTheme="minorHAnsi"/>
          <w:sz w:val="22"/>
          <w:szCs w:val="22"/>
          <w:lang w:val="en-ZA"/>
        </w:rPr>
        <w:t xml:space="preserve"> – this wide interval is a consequence of the</w:t>
      </w:r>
      <w:r w:rsidR="00CE00B4" w:rsidRPr="000340C9">
        <w:rPr>
          <w:rFonts w:asciiTheme="minorHAnsi" w:hAnsiTheme="minorHAnsi"/>
          <w:i/>
          <w:sz w:val="22"/>
          <w:szCs w:val="22"/>
          <w:lang w:val="en-ZA"/>
        </w:rPr>
        <w:t xml:space="preserve"> </w:t>
      </w:r>
      <w:r w:rsidRPr="000340C9">
        <w:rPr>
          <w:rFonts w:asciiTheme="minorHAnsi" w:hAnsiTheme="minorHAnsi"/>
          <w:i/>
          <w:sz w:val="22"/>
          <w:szCs w:val="22"/>
          <w:lang w:val="en-ZA"/>
        </w:rPr>
        <w:t xml:space="preserve">Andromeda </w:t>
      </w:r>
      <w:r w:rsidR="00CE00B4" w:rsidRPr="000340C9">
        <w:rPr>
          <w:rFonts w:asciiTheme="minorHAnsi" w:hAnsiTheme="minorHAnsi"/>
          <w:sz w:val="22"/>
          <w:szCs w:val="22"/>
          <w:lang w:val="en-ZA"/>
        </w:rPr>
        <w:t>having carried out only three surveys.</w:t>
      </w:r>
      <w:r w:rsidR="000340C9">
        <w:rPr>
          <w:rFonts w:asciiTheme="minorHAnsi" w:hAnsiTheme="minorHAnsi"/>
          <w:sz w:val="22"/>
          <w:szCs w:val="22"/>
          <w:lang w:val="en-ZA"/>
        </w:rPr>
        <w:t xml:space="preserve"> With data included to 2015, </w:t>
      </w:r>
      <w:r w:rsidR="00351092" w:rsidRPr="00524CFD">
        <w:rPr>
          <w:rFonts w:ascii="Calibri" w:hAnsi="Calibri" w:cs="Calibri"/>
          <w:position w:val="-10"/>
          <w:sz w:val="22"/>
          <w:szCs w:val="22"/>
        </w:rPr>
        <w:object w:dxaOrig="220" w:dyaOrig="240">
          <v:shape id="_x0000_i1033" type="#_x0000_t75" style="width:7pt;height:12pt" o:ole="" fillcolor="window">
            <v:imagedata r:id="rId25" o:title=""/>
          </v:shape>
          <o:OLEObject Type="Embed" ProgID="Equation.3" ShapeID="_x0000_i1033" DrawAspect="Content" ObjectID="_1388065860" r:id="rId26"/>
        </w:object>
      </w:r>
      <w:r w:rsidR="00351092">
        <w:rPr>
          <w:rFonts w:ascii="Calibri" w:hAnsi="Calibri" w:cs="Calibri"/>
          <w:sz w:val="22"/>
          <w:szCs w:val="22"/>
        </w:rPr>
        <w:t xml:space="preserve"> </w:t>
      </w:r>
      <w:r w:rsidR="000340C9">
        <w:rPr>
          <w:rFonts w:asciiTheme="minorHAnsi" w:hAnsiTheme="minorHAnsi"/>
          <w:sz w:val="22"/>
          <w:szCs w:val="22"/>
          <w:lang w:val="en-ZA"/>
        </w:rPr>
        <w:t xml:space="preserve">is estimated to be 0.75 with a </w:t>
      </w:r>
      <w:r w:rsidR="00351092">
        <w:rPr>
          <w:rFonts w:asciiTheme="minorHAnsi" w:hAnsiTheme="minorHAnsi"/>
          <w:sz w:val="22"/>
          <w:szCs w:val="22"/>
          <w:lang w:val="en-ZA"/>
        </w:rPr>
        <w:t xml:space="preserve">narrower </w:t>
      </w:r>
      <w:r w:rsidR="000340C9">
        <w:rPr>
          <w:rFonts w:asciiTheme="minorHAnsi" w:hAnsiTheme="minorHAnsi"/>
          <w:sz w:val="22"/>
          <w:szCs w:val="22"/>
          <w:lang w:val="en-ZA"/>
        </w:rPr>
        <w:t>95% prob</w:t>
      </w:r>
      <w:r w:rsidR="00395F6F">
        <w:rPr>
          <w:rFonts w:asciiTheme="minorHAnsi" w:hAnsiTheme="minorHAnsi"/>
          <w:sz w:val="22"/>
          <w:szCs w:val="22"/>
          <w:lang w:val="en-ZA"/>
        </w:rPr>
        <w:t>ab</w:t>
      </w:r>
      <w:r w:rsidR="000340C9">
        <w:rPr>
          <w:rFonts w:asciiTheme="minorHAnsi" w:hAnsiTheme="minorHAnsi"/>
          <w:sz w:val="22"/>
          <w:szCs w:val="22"/>
          <w:lang w:val="en-ZA"/>
        </w:rPr>
        <w:t>ility interval (0.55; 1.03).</w:t>
      </w:r>
    </w:p>
    <w:p w:rsidR="00056841" w:rsidRPr="00524CFD" w:rsidRDefault="007E2C4A" w:rsidP="00CB7C25">
      <w:pPr>
        <w:pStyle w:val="BodyText"/>
        <w:spacing w:after="120"/>
        <w:jc w:val="both"/>
        <w:rPr>
          <w:rFonts w:asciiTheme="minorHAnsi" w:hAnsiTheme="minorHAnsi"/>
          <w:sz w:val="22"/>
          <w:szCs w:val="22"/>
          <w:lang w:val="en-ZA"/>
        </w:rPr>
      </w:pPr>
      <w:r w:rsidRPr="007E2C4A">
        <w:rPr>
          <w:rFonts w:asciiTheme="minorHAnsi" w:hAnsiTheme="minorHAnsi"/>
          <w:sz w:val="22"/>
          <w:szCs w:val="22"/>
          <w:lang w:val="en-ZA"/>
        </w:rPr>
        <w:t xml:space="preserve">The data update and estimating </w:t>
      </w:r>
      <w:r w:rsidRPr="007E2C4A">
        <w:rPr>
          <w:rFonts w:ascii="Symbol" w:hAnsi="Symbol"/>
          <w:i/>
          <w:sz w:val="22"/>
          <w:szCs w:val="22"/>
          <w:lang w:val="en-ZA"/>
        </w:rPr>
        <w:t></w:t>
      </w:r>
      <w:r w:rsidRPr="007E2C4A">
        <w:rPr>
          <w:rFonts w:asciiTheme="minorHAnsi" w:hAnsiTheme="minorHAnsi"/>
          <w:sz w:val="22"/>
          <w:szCs w:val="22"/>
          <w:lang w:val="en-ZA"/>
        </w:rPr>
        <w:t xml:space="preserve"> have </w:t>
      </w:r>
      <w:r w:rsidR="00351092">
        <w:rPr>
          <w:rFonts w:asciiTheme="minorHAnsi" w:hAnsiTheme="minorHAnsi"/>
          <w:sz w:val="22"/>
          <w:szCs w:val="22"/>
          <w:lang w:val="en-ZA"/>
        </w:rPr>
        <w:t>rather</w:t>
      </w:r>
      <w:r w:rsidRPr="007E2C4A">
        <w:rPr>
          <w:rFonts w:asciiTheme="minorHAnsi" w:hAnsiTheme="minorHAnsi"/>
          <w:sz w:val="22"/>
          <w:szCs w:val="22"/>
          <w:lang w:val="en-ZA"/>
        </w:rPr>
        <w:t xml:space="preserve"> little effect on the overall estimated trends in abundance</w:t>
      </w:r>
      <w:r w:rsidR="00351092">
        <w:rPr>
          <w:rFonts w:asciiTheme="minorHAnsi" w:hAnsiTheme="minorHAnsi"/>
          <w:sz w:val="22"/>
          <w:szCs w:val="22"/>
          <w:lang w:val="en-ZA"/>
        </w:rPr>
        <w:t xml:space="preserve">, though there is a downward indicated for </w:t>
      </w:r>
      <w:r w:rsidR="00351092" w:rsidRPr="00401EBC">
        <w:rPr>
          <w:rFonts w:asciiTheme="minorHAnsi" w:hAnsiTheme="minorHAnsi"/>
          <w:i/>
          <w:sz w:val="22"/>
          <w:szCs w:val="22"/>
          <w:lang w:val="en-ZA"/>
        </w:rPr>
        <w:t>M. paradoxus</w:t>
      </w:r>
      <w:r w:rsidR="00351092">
        <w:rPr>
          <w:rFonts w:asciiTheme="minorHAnsi" w:hAnsiTheme="minorHAnsi"/>
          <w:sz w:val="22"/>
          <w:szCs w:val="22"/>
          <w:lang w:val="en-ZA"/>
        </w:rPr>
        <w:t xml:space="preserve"> for the most recent years</w:t>
      </w:r>
      <w:r w:rsidRPr="007E2C4A">
        <w:rPr>
          <w:rFonts w:asciiTheme="minorHAnsi" w:hAnsiTheme="minorHAnsi"/>
          <w:sz w:val="22"/>
          <w:szCs w:val="22"/>
          <w:lang w:val="en-ZA"/>
        </w:rPr>
        <w:t xml:space="preserve"> (see Figure 1).</w:t>
      </w:r>
    </w:p>
    <w:p w:rsidR="00F275F6" w:rsidRDefault="00F275F6" w:rsidP="00785339">
      <w:pPr>
        <w:pStyle w:val="BodyText"/>
        <w:spacing w:after="120"/>
        <w:jc w:val="both"/>
        <w:rPr>
          <w:rFonts w:asciiTheme="minorHAnsi" w:hAnsiTheme="minorHAnsi"/>
          <w:b/>
          <w:sz w:val="22"/>
          <w:szCs w:val="22"/>
          <w:lang w:val="en-ZA"/>
        </w:rPr>
      </w:pPr>
    </w:p>
    <w:p w:rsidR="00401EBC" w:rsidRPr="00524CFD" w:rsidRDefault="00401EBC" w:rsidP="00785339">
      <w:pPr>
        <w:pStyle w:val="BodyText"/>
        <w:spacing w:after="120"/>
        <w:jc w:val="both"/>
        <w:rPr>
          <w:rFonts w:asciiTheme="minorHAnsi" w:hAnsiTheme="minorHAnsi"/>
          <w:b/>
          <w:sz w:val="22"/>
          <w:szCs w:val="22"/>
          <w:lang w:val="en-ZA"/>
        </w:rPr>
      </w:pPr>
    </w:p>
    <w:p w:rsidR="00785339" w:rsidRPr="006431E2" w:rsidRDefault="00785339" w:rsidP="00785339">
      <w:pPr>
        <w:pStyle w:val="BodyText"/>
        <w:spacing w:after="120"/>
        <w:jc w:val="both"/>
        <w:rPr>
          <w:rFonts w:asciiTheme="minorHAnsi" w:hAnsiTheme="minorHAnsi"/>
          <w:b/>
          <w:sz w:val="24"/>
          <w:lang w:val="en-ZA"/>
        </w:rPr>
      </w:pPr>
      <w:r w:rsidRPr="006431E2">
        <w:rPr>
          <w:rFonts w:asciiTheme="minorHAnsi" w:hAnsiTheme="minorHAnsi"/>
          <w:b/>
          <w:sz w:val="24"/>
          <w:lang w:val="en-ZA"/>
        </w:rPr>
        <w:t>Reference</w:t>
      </w:r>
    </w:p>
    <w:p w:rsidR="00785339" w:rsidRPr="007129A9" w:rsidRDefault="007E2C4A" w:rsidP="00785339">
      <w:pPr>
        <w:pStyle w:val="BodyText"/>
        <w:spacing w:after="120"/>
        <w:jc w:val="both"/>
        <w:rPr>
          <w:rFonts w:asciiTheme="minorHAnsi" w:hAnsiTheme="minorHAnsi" w:cs="Calibri"/>
          <w:sz w:val="22"/>
          <w:szCs w:val="22"/>
        </w:rPr>
      </w:pPr>
      <w:r w:rsidRPr="007E2C4A">
        <w:rPr>
          <w:rFonts w:asciiTheme="minorHAnsi" w:hAnsiTheme="minorHAnsi"/>
          <w:sz w:val="22"/>
          <w:szCs w:val="22"/>
          <w:lang w:val="en-ZA"/>
        </w:rPr>
        <w:t>Rademeyer RA and Butterworth DS. 2014. S</w:t>
      </w:r>
      <w:proofErr w:type="spellStart"/>
      <w:r w:rsidRPr="007E2C4A">
        <w:rPr>
          <w:rFonts w:asciiTheme="minorHAnsi" w:hAnsiTheme="minorHAnsi" w:cs="Calibri"/>
          <w:sz w:val="22"/>
          <w:szCs w:val="22"/>
        </w:rPr>
        <w:t>pecifications</w:t>
      </w:r>
      <w:proofErr w:type="spellEnd"/>
      <w:r w:rsidRPr="007E2C4A">
        <w:rPr>
          <w:rFonts w:asciiTheme="minorHAnsi" w:hAnsiTheme="minorHAnsi" w:cs="Calibri"/>
          <w:sz w:val="22"/>
          <w:szCs w:val="22"/>
        </w:rPr>
        <w:t xml:space="preserve"> of the South African Hake 2014 Reference Case Assessment. MARAM/IWS/DEC14/Hake/P2.</w:t>
      </w:r>
    </w:p>
    <w:p w:rsidR="00063F5B" w:rsidRDefault="00063F5B" w:rsidP="00785339">
      <w:pPr>
        <w:pStyle w:val="BodyText"/>
        <w:spacing w:after="120"/>
        <w:jc w:val="both"/>
        <w:rPr>
          <w:rFonts w:asciiTheme="minorHAnsi" w:hAnsiTheme="minorHAnsi"/>
          <w:sz w:val="22"/>
          <w:szCs w:val="22"/>
          <w:lang w:val="en-ZA"/>
        </w:rPr>
      </w:pPr>
    </w:p>
    <w:p w:rsidR="00063F5B" w:rsidRDefault="00063F5B" w:rsidP="00785339">
      <w:pPr>
        <w:pStyle w:val="BodyText"/>
        <w:spacing w:after="120"/>
        <w:jc w:val="both"/>
        <w:rPr>
          <w:rFonts w:asciiTheme="minorHAnsi" w:hAnsiTheme="minorHAnsi"/>
          <w:sz w:val="22"/>
          <w:szCs w:val="22"/>
          <w:lang w:val="en-ZA"/>
        </w:rPr>
      </w:pPr>
    </w:p>
    <w:p w:rsidR="00063F5B" w:rsidRDefault="00063F5B" w:rsidP="00785339">
      <w:pPr>
        <w:pStyle w:val="BodyText"/>
        <w:spacing w:after="120"/>
        <w:jc w:val="both"/>
        <w:rPr>
          <w:rFonts w:asciiTheme="minorHAnsi" w:hAnsiTheme="minorHAnsi"/>
          <w:sz w:val="22"/>
          <w:szCs w:val="22"/>
          <w:lang w:val="en-ZA"/>
        </w:rPr>
      </w:pPr>
    </w:p>
    <w:p w:rsidR="000340C9" w:rsidRDefault="000340C9">
      <w:pPr>
        <w:rPr>
          <w:rFonts w:eastAsia="Times New Roman" w:cs="Times New Roman"/>
        </w:rPr>
      </w:pPr>
      <w:r>
        <w:br w:type="page"/>
      </w:r>
    </w:p>
    <w:p w:rsidR="00AB4053" w:rsidRPr="007129A9" w:rsidRDefault="007E2C4A" w:rsidP="00785339">
      <w:pPr>
        <w:pStyle w:val="BodyText"/>
        <w:spacing w:after="120"/>
        <w:jc w:val="both"/>
        <w:rPr>
          <w:rFonts w:asciiTheme="minorHAnsi" w:hAnsiTheme="minorHAnsi"/>
          <w:sz w:val="22"/>
          <w:szCs w:val="22"/>
        </w:rPr>
      </w:pPr>
      <w:r w:rsidRPr="007E2C4A">
        <w:rPr>
          <w:rFonts w:asciiTheme="minorHAnsi" w:hAnsiTheme="minorHAnsi"/>
          <w:sz w:val="22"/>
          <w:szCs w:val="22"/>
          <w:lang w:val="en-ZA"/>
        </w:rPr>
        <w:lastRenderedPageBreak/>
        <w:t xml:space="preserve">Table 1: Results for RS1 and the update assessments with </w:t>
      </w:r>
      <w:r w:rsidRPr="007E2C4A">
        <w:rPr>
          <w:rFonts w:ascii="Symbol" w:hAnsi="Symbol"/>
          <w:i/>
          <w:sz w:val="22"/>
          <w:szCs w:val="22"/>
          <w:lang w:val="en-ZA"/>
        </w:rPr>
        <w:t></w:t>
      </w:r>
      <w:r w:rsidRPr="007E2C4A">
        <w:rPr>
          <w:rFonts w:asciiTheme="minorHAnsi" w:hAnsiTheme="minorHAnsi"/>
          <w:sz w:val="22"/>
          <w:szCs w:val="22"/>
          <w:lang w:val="en-ZA"/>
        </w:rPr>
        <w:t xml:space="preserve"> =1 and </w:t>
      </w:r>
      <w:r w:rsidRPr="007E2C4A">
        <w:rPr>
          <w:rFonts w:ascii="Symbol" w:hAnsi="Symbol"/>
          <w:i/>
          <w:sz w:val="22"/>
          <w:szCs w:val="22"/>
          <w:lang w:val="en-ZA"/>
        </w:rPr>
        <w:t></w:t>
      </w:r>
      <w:r w:rsidRPr="007E2C4A">
        <w:rPr>
          <w:rFonts w:asciiTheme="minorHAnsi" w:hAnsiTheme="minorHAnsi"/>
          <w:sz w:val="22"/>
          <w:szCs w:val="22"/>
          <w:lang w:val="en-ZA"/>
        </w:rPr>
        <w:t xml:space="preserve"> estimated</w:t>
      </w:r>
      <w:r w:rsidRPr="007E2C4A">
        <w:rPr>
          <w:rFonts w:asciiTheme="minorHAnsi" w:hAnsiTheme="minorHAnsi"/>
          <w:sz w:val="22"/>
          <w:szCs w:val="22"/>
        </w:rPr>
        <w:t>.</w:t>
      </w:r>
    </w:p>
    <w:p w:rsidR="00CF6732" w:rsidRDefault="000340C9" w:rsidP="00785339">
      <w:pPr>
        <w:pStyle w:val="BodyText"/>
        <w:spacing w:after="120"/>
        <w:jc w:val="both"/>
        <w:rPr>
          <w:rFonts w:asciiTheme="minorHAnsi" w:hAnsiTheme="minorHAnsi"/>
          <w:sz w:val="22"/>
          <w:szCs w:val="22"/>
          <w:lang w:val="en-ZA"/>
        </w:rPr>
      </w:pPr>
      <w:r w:rsidRPr="000340C9">
        <w:rPr>
          <w:noProof/>
          <w:lang w:val="en-US" w:eastAsia="en-US"/>
        </w:rPr>
        <w:drawing>
          <wp:inline distT="0" distB="0" distL="0" distR="0" wp14:anchorId="64EFE0E0" wp14:editId="6192D2C8">
            <wp:extent cx="4633362" cy="565757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4633362" cy="5657578"/>
                    </a:xfrm>
                    <a:prstGeom prst="rect">
                      <a:avLst/>
                    </a:prstGeom>
                    <a:noFill/>
                    <a:ln w="9525">
                      <a:noFill/>
                      <a:miter lim="800000"/>
                      <a:headEnd/>
                      <a:tailEnd/>
                    </a:ln>
                  </pic:spPr>
                </pic:pic>
              </a:graphicData>
            </a:graphic>
          </wp:inline>
        </w:drawing>
      </w:r>
    </w:p>
    <w:p w:rsidR="007B7966" w:rsidRDefault="007B7966" w:rsidP="00785339">
      <w:pPr>
        <w:pStyle w:val="BodyText"/>
        <w:spacing w:after="120"/>
        <w:jc w:val="both"/>
        <w:rPr>
          <w:rFonts w:asciiTheme="minorHAnsi" w:hAnsiTheme="minorHAnsi"/>
          <w:sz w:val="22"/>
          <w:szCs w:val="22"/>
          <w:lang w:val="en-ZA"/>
        </w:rPr>
      </w:pPr>
    </w:p>
    <w:p w:rsidR="007B7966" w:rsidRDefault="007B7966" w:rsidP="00785339">
      <w:pPr>
        <w:pStyle w:val="BodyText"/>
        <w:spacing w:after="120"/>
        <w:jc w:val="both"/>
        <w:rPr>
          <w:rFonts w:asciiTheme="minorHAnsi" w:hAnsiTheme="minorHAnsi"/>
          <w:sz w:val="22"/>
          <w:szCs w:val="22"/>
          <w:lang w:val="en-ZA"/>
        </w:rPr>
      </w:pPr>
    </w:p>
    <w:p w:rsidR="007B7966" w:rsidRDefault="0083514F" w:rsidP="00785339">
      <w:pPr>
        <w:pStyle w:val="BodyText"/>
        <w:spacing w:after="120"/>
        <w:jc w:val="both"/>
        <w:rPr>
          <w:rFonts w:asciiTheme="minorHAnsi" w:hAnsiTheme="minorHAnsi"/>
          <w:sz w:val="22"/>
          <w:szCs w:val="22"/>
          <w:lang w:val="en-ZA"/>
        </w:rPr>
      </w:pPr>
      <w:r w:rsidRPr="0083514F">
        <w:rPr>
          <w:noProof/>
          <w:lang w:val="en-US" w:eastAsia="en-US"/>
        </w:rPr>
        <w:lastRenderedPageBreak/>
        <w:drawing>
          <wp:inline distT="0" distB="0" distL="0" distR="0" wp14:anchorId="58AD2197" wp14:editId="04EE7D05">
            <wp:extent cx="5943600" cy="373759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5943600" cy="3737598"/>
                    </a:xfrm>
                    <a:prstGeom prst="rect">
                      <a:avLst/>
                    </a:prstGeom>
                    <a:noFill/>
                    <a:ln w="9525">
                      <a:noFill/>
                      <a:miter lim="800000"/>
                      <a:headEnd/>
                      <a:tailEnd/>
                    </a:ln>
                  </pic:spPr>
                </pic:pic>
              </a:graphicData>
            </a:graphic>
          </wp:inline>
        </w:drawing>
      </w:r>
    </w:p>
    <w:p w:rsidR="007B7966" w:rsidRPr="007129A9" w:rsidRDefault="007E2C4A" w:rsidP="007B7966">
      <w:pPr>
        <w:pStyle w:val="BodyText"/>
        <w:spacing w:after="120"/>
        <w:jc w:val="both"/>
        <w:rPr>
          <w:rFonts w:asciiTheme="minorHAnsi" w:hAnsiTheme="minorHAnsi"/>
          <w:b/>
          <w:sz w:val="22"/>
          <w:szCs w:val="22"/>
          <w:lang w:val="en-ZA"/>
        </w:rPr>
      </w:pPr>
      <w:r w:rsidRPr="007E2C4A">
        <w:rPr>
          <w:rFonts w:asciiTheme="minorHAnsi" w:hAnsiTheme="minorHAnsi"/>
          <w:sz w:val="22"/>
          <w:szCs w:val="22"/>
          <w:lang w:val="en-ZA"/>
        </w:rPr>
        <w:t xml:space="preserve">Figure 1: Spawning biomass trajectories (in absolute terms, top row, and relative to pre-exploitation level, bottom row) for the </w:t>
      </w:r>
      <w:r w:rsidR="0083514F">
        <w:rPr>
          <w:rFonts w:asciiTheme="minorHAnsi" w:hAnsiTheme="minorHAnsi"/>
          <w:sz w:val="22"/>
          <w:szCs w:val="22"/>
          <w:lang w:val="en-ZA"/>
        </w:rPr>
        <w:t>five</w:t>
      </w:r>
      <w:r w:rsidR="0083514F" w:rsidRPr="007E2C4A">
        <w:rPr>
          <w:rFonts w:asciiTheme="minorHAnsi" w:hAnsiTheme="minorHAnsi"/>
          <w:sz w:val="22"/>
          <w:szCs w:val="22"/>
          <w:lang w:val="en-ZA"/>
        </w:rPr>
        <w:t xml:space="preserve"> </w:t>
      </w:r>
      <w:r w:rsidRPr="007E2C4A">
        <w:rPr>
          <w:rFonts w:asciiTheme="minorHAnsi" w:hAnsiTheme="minorHAnsi"/>
          <w:sz w:val="22"/>
          <w:szCs w:val="22"/>
          <w:lang w:val="en-ZA"/>
        </w:rPr>
        <w:t xml:space="preserve">cases for </w:t>
      </w:r>
      <w:r w:rsidRPr="007E2C4A">
        <w:rPr>
          <w:rFonts w:asciiTheme="minorHAnsi" w:hAnsiTheme="minorHAnsi"/>
          <w:i/>
          <w:sz w:val="22"/>
          <w:szCs w:val="22"/>
          <w:lang w:val="en-ZA"/>
        </w:rPr>
        <w:t>M. paradoxus</w:t>
      </w:r>
      <w:r w:rsidRPr="007E2C4A">
        <w:rPr>
          <w:rFonts w:asciiTheme="minorHAnsi" w:hAnsiTheme="minorHAnsi"/>
          <w:sz w:val="22"/>
          <w:szCs w:val="22"/>
          <w:lang w:val="en-ZA"/>
        </w:rPr>
        <w:t xml:space="preserve"> (LHS) and </w:t>
      </w:r>
      <w:r w:rsidRPr="007E2C4A">
        <w:rPr>
          <w:rFonts w:asciiTheme="minorHAnsi" w:hAnsiTheme="minorHAnsi"/>
          <w:i/>
          <w:sz w:val="22"/>
          <w:szCs w:val="22"/>
          <w:lang w:val="en-ZA"/>
        </w:rPr>
        <w:t>M. capensis</w:t>
      </w:r>
      <w:r w:rsidRPr="007E2C4A">
        <w:rPr>
          <w:rFonts w:asciiTheme="minorHAnsi" w:hAnsiTheme="minorHAnsi"/>
          <w:sz w:val="22"/>
          <w:szCs w:val="22"/>
          <w:lang w:val="en-ZA"/>
        </w:rPr>
        <w:t xml:space="preserve"> (RHS).</w:t>
      </w:r>
      <w:r w:rsidRPr="007E2C4A">
        <w:rPr>
          <w:rFonts w:asciiTheme="minorHAnsi" w:hAnsiTheme="minorHAnsi"/>
          <w:b/>
          <w:sz w:val="22"/>
          <w:szCs w:val="22"/>
          <w:lang w:val="en-ZA"/>
        </w:rPr>
        <w:t xml:space="preserve"> </w:t>
      </w:r>
    </w:p>
    <w:p w:rsidR="007B7966" w:rsidRPr="00785339" w:rsidRDefault="007B7966" w:rsidP="00785339">
      <w:pPr>
        <w:pStyle w:val="BodyText"/>
        <w:spacing w:after="120"/>
        <w:jc w:val="both"/>
        <w:rPr>
          <w:rFonts w:asciiTheme="minorHAnsi" w:hAnsiTheme="minorHAnsi"/>
          <w:sz w:val="22"/>
          <w:szCs w:val="22"/>
          <w:lang w:val="en-ZA"/>
        </w:rPr>
        <w:sectPr w:rsidR="007B7966" w:rsidRPr="00785339" w:rsidSect="001B786B">
          <w:headerReference w:type="default" r:id="rId29"/>
          <w:footerReference w:type="default" r:id="rId30"/>
          <w:pgSz w:w="12240" w:h="15840"/>
          <w:pgMar w:top="1440" w:right="1440" w:bottom="1440" w:left="1440" w:header="708" w:footer="708" w:gutter="0"/>
          <w:cols w:space="708"/>
          <w:docGrid w:linePitch="360"/>
        </w:sectPr>
      </w:pPr>
    </w:p>
    <w:p w:rsidR="00785339" w:rsidRPr="00C111C8" w:rsidRDefault="006431E2" w:rsidP="00785339">
      <w:pPr>
        <w:pStyle w:val="Heading4"/>
        <w:spacing w:before="0" w:after="120" w:line="240" w:lineRule="auto"/>
        <w:jc w:val="both"/>
        <w:rPr>
          <w:rFonts w:asciiTheme="minorHAnsi" w:hAnsiTheme="minorHAnsi"/>
          <w:sz w:val="28"/>
          <w:szCs w:val="28"/>
        </w:rPr>
      </w:pPr>
      <w:r>
        <w:rPr>
          <w:rFonts w:asciiTheme="minorHAnsi" w:hAnsiTheme="minorHAnsi"/>
          <w:sz w:val="28"/>
          <w:szCs w:val="28"/>
        </w:rPr>
        <w:lastRenderedPageBreak/>
        <w:t>Appendix A: Updated data</w:t>
      </w:r>
    </w:p>
    <w:p w:rsidR="006431E2" w:rsidRPr="007129A9" w:rsidRDefault="007E2C4A" w:rsidP="00785339">
      <w:pPr>
        <w:pStyle w:val="Heading4"/>
        <w:spacing w:before="0" w:after="120" w:line="240" w:lineRule="auto"/>
        <w:jc w:val="both"/>
        <w:rPr>
          <w:rFonts w:ascii="Calibri" w:hAnsi="Calibri" w:cs="Calibri"/>
          <w:b w:val="0"/>
          <w:sz w:val="22"/>
          <w:szCs w:val="22"/>
        </w:rPr>
      </w:pPr>
      <w:r w:rsidRPr="007E2C4A">
        <w:rPr>
          <w:rFonts w:ascii="Calibri" w:hAnsi="Calibri" w:cs="Calibri"/>
          <w:b w:val="0"/>
          <w:sz w:val="22"/>
          <w:szCs w:val="22"/>
        </w:rPr>
        <w:t xml:space="preserve">Table App.A.1: Species-disaggregated catches (in thousand tons) by fleet of South African hake from the south and west coasts for the period 1978-present. The recent offshore trawl catches are from Glazer (pers. comm.), the recent inshore and handline catches are from Rob Cooper (pers. comm.) and the new longline catches from Sobahle </w:t>
      </w:r>
      <w:r w:rsidR="00607CEB">
        <w:rPr>
          <w:rFonts w:ascii="Calibri" w:hAnsi="Calibri" w:cs="Calibri"/>
          <w:b w:val="0"/>
          <w:sz w:val="22"/>
          <w:szCs w:val="22"/>
        </w:rPr>
        <w:t>Somhlaba (pers. comm.). For 2015</w:t>
      </w:r>
      <w:r w:rsidRPr="007E2C4A">
        <w:rPr>
          <w:rFonts w:ascii="Calibri" w:hAnsi="Calibri" w:cs="Calibri"/>
          <w:b w:val="0"/>
          <w:sz w:val="22"/>
          <w:szCs w:val="22"/>
        </w:rPr>
        <w:t>, the catches are taken as the 2014 TAC with the same proportion by species and fleet as in 2013. Shaded cells are either new or updated data compared to those used for RS1.</w:t>
      </w:r>
    </w:p>
    <w:p w:rsidR="00F6774A" w:rsidRPr="00F6774A" w:rsidRDefault="0083514F" w:rsidP="00F6774A">
      <w:pPr>
        <w:pStyle w:val="BodyText"/>
        <w:rPr>
          <w:lang w:val="en-ZA"/>
        </w:rPr>
        <w:sectPr w:rsidR="00F6774A" w:rsidRPr="00F6774A" w:rsidSect="001B786B">
          <w:pgSz w:w="12240" w:h="15840"/>
          <w:pgMar w:top="1440" w:right="1440" w:bottom="1440" w:left="1440" w:header="708" w:footer="708" w:gutter="0"/>
          <w:cols w:space="708"/>
          <w:docGrid w:linePitch="360"/>
        </w:sectPr>
      </w:pPr>
      <w:r w:rsidRPr="0083514F">
        <w:rPr>
          <w:noProof/>
          <w:lang w:val="en-US" w:eastAsia="en-US"/>
        </w:rPr>
        <w:drawing>
          <wp:inline distT="0" distB="0" distL="0" distR="0">
            <wp:extent cx="5236766" cy="6752515"/>
            <wp:effectExtent l="19050" t="0" r="1984"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5236766" cy="6752515"/>
                    </a:xfrm>
                    <a:prstGeom prst="rect">
                      <a:avLst/>
                    </a:prstGeom>
                    <a:noFill/>
                    <a:ln w="9525">
                      <a:noFill/>
                      <a:miter lim="800000"/>
                      <a:headEnd/>
                      <a:tailEnd/>
                    </a:ln>
                  </pic:spPr>
                </pic:pic>
              </a:graphicData>
            </a:graphic>
          </wp:inline>
        </w:drawing>
      </w:r>
    </w:p>
    <w:p w:rsidR="00785339" w:rsidRPr="007129A9" w:rsidRDefault="007E2C4A" w:rsidP="00785339">
      <w:pPr>
        <w:pStyle w:val="Heading4"/>
        <w:spacing w:before="0" w:after="120" w:line="240" w:lineRule="auto"/>
        <w:jc w:val="both"/>
        <w:rPr>
          <w:rFonts w:asciiTheme="minorHAnsi" w:hAnsiTheme="minorHAnsi"/>
          <w:b w:val="0"/>
          <w:sz w:val="22"/>
          <w:szCs w:val="22"/>
        </w:rPr>
      </w:pPr>
      <w:r w:rsidRPr="007E2C4A">
        <w:rPr>
          <w:rFonts w:ascii="Calibri" w:hAnsi="Calibri" w:cs="Calibri"/>
          <w:b w:val="0"/>
          <w:sz w:val="22"/>
          <w:szCs w:val="22"/>
        </w:rPr>
        <w:lastRenderedPageBreak/>
        <w:t>Table App.A.2</w:t>
      </w:r>
      <w:r w:rsidRPr="007E2C4A">
        <w:rPr>
          <w:rFonts w:ascii="Calibri" w:hAnsi="Calibri" w:cs="Calibri"/>
          <w:sz w:val="22"/>
          <w:szCs w:val="22"/>
        </w:rPr>
        <w:t xml:space="preserve">: </w:t>
      </w:r>
      <w:r w:rsidRPr="007E2C4A">
        <w:rPr>
          <w:rFonts w:ascii="Calibri" w:hAnsi="Calibri" w:cs="Calibri"/>
          <w:b w:val="0"/>
          <w:sz w:val="22"/>
          <w:szCs w:val="22"/>
          <w:lang w:val="en-US"/>
        </w:rPr>
        <w:t xml:space="preserve">GLM standardized CPUE data for </w:t>
      </w:r>
      <w:r w:rsidRPr="007E2C4A">
        <w:rPr>
          <w:rFonts w:ascii="Calibri" w:hAnsi="Calibri" w:cs="Calibri"/>
          <w:b w:val="0"/>
          <w:i/>
          <w:iCs/>
          <w:sz w:val="22"/>
          <w:szCs w:val="22"/>
          <w:lang w:val="en-US"/>
        </w:rPr>
        <w:t xml:space="preserve">M. </w:t>
      </w:r>
      <w:proofErr w:type="spellStart"/>
      <w:r w:rsidRPr="007E2C4A">
        <w:rPr>
          <w:rFonts w:ascii="Calibri" w:hAnsi="Calibri" w:cs="Calibri"/>
          <w:b w:val="0"/>
          <w:i/>
          <w:iCs/>
          <w:sz w:val="22"/>
          <w:szCs w:val="22"/>
          <w:lang w:val="en-US"/>
        </w:rPr>
        <w:t>paradoxus</w:t>
      </w:r>
      <w:proofErr w:type="spellEnd"/>
      <w:r w:rsidRPr="007E2C4A">
        <w:rPr>
          <w:rFonts w:ascii="Calibri" w:hAnsi="Calibri" w:cs="Calibri"/>
          <w:b w:val="0"/>
          <w:sz w:val="22"/>
          <w:szCs w:val="22"/>
          <w:lang w:val="en-US"/>
        </w:rPr>
        <w:t xml:space="preserve"> and </w:t>
      </w:r>
      <w:r w:rsidRPr="007E2C4A">
        <w:rPr>
          <w:rFonts w:ascii="Calibri" w:hAnsi="Calibri" w:cs="Calibri"/>
          <w:b w:val="0"/>
          <w:i/>
          <w:iCs/>
          <w:sz w:val="22"/>
          <w:szCs w:val="22"/>
          <w:lang w:val="en-US"/>
        </w:rPr>
        <w:t xml:space="preserve">M. </w:t>
      </w:r>
      <w:proofErr w:type="spellStart"/>
      <w:r w:rsidRPr="007E2C4A">
        <w:rPr>
          <w:rFonts w:ascii="Calibri" w:hAnsi="Calibri" w:cs="Calibri"/>
          <w:b w:val="0"/>
          <w:i/>
          <w:iCs/>
          <w:sz w:val="22"/>
          <w:szCs w:val="22"/>
          <w:lang w:val="en-US"/>
        </w:rPr>
        <w:t>capensis</w:t>
      </w:r>
      <w:proofErr w:type="spellEnd"/>
      <w:r w:rsidRPr="007E2C4A">
        <w:rPr>
          <w:rFonts w:ascii="Calibri" w:hAnsi="Calibri" w:cs="Calibri"/>
          <w:b w:val="0"/>
          <w:iCs/>
          <w:sz w:val="22"/>
          <w:szCs w:val="22"/>
          <w:lang w:val="en-US"/>
        </w:rPr>
        <w:t xml:space="preserve"> (Glazer, pers. comm.)</w:t>
      </w:r>
      <w:r w:rsidRPr="007E2C4A">
        <w:rPr>
          <w:rFonts w:ascii="Calibri" w:hAnsi="Calibri" w:cs="Calibri"/>
          <w:b w:val="0"/>
          <w:sz w:val="22"/>
          <w:szCs w:val="22"/>
          <w:lang w:val="en-US"/>
        </w:rPr>
        <w:t xml:space="preserve">. Shaded </w:t>
      </w:r>
      <w:r w:rsidRPr="007E2C4A">
        <w:rPr>
          <w:rFonts w:ascii="Calibri" w:hAnsi="Calibri" w:cs="Calibri"/>
          <w:b w:val="0"/>
          <w:sz w:val="22"/>
          <w:szCs w:val="22"/>
        </w:rPr>
        <w:t>cells are either new or updated data.</w:t>
      </w:r>
    </w:p>
    <w:p w:rsidR="00575108" w:rsidRDefault="0083514F" w:rsidP="00F275F6">
      <w:pPr>
        <w:spacing w:after="120" w:line="240" w:lineRule="auto"/>
        <w:jc w:val="both"/>
        <w:sectPr w:rsidR="00575108" w:rsidSect="001B786B">
          <w:pgSz w:w="12240" w:h="15840"/>
          <w:pgMar w:top="1440" w:right="1440" w:bottom="1440" w:left="1440" w:header="708" w:footer="708" w:gutter="0"/>
          <w:cols w:space="708"/>
          <w:docGrid w:linePitch="360"/>
        </w:sectPr>
      </w:pPr>
      <w:r w:rsidRPr="0083514F">
        <w:rPr>
          <w:noProof/>
          <w:lang w:val="en-US" w:eastAsia="en-US"/>
        </w:rPr>
        <w:drawing>
          <wp:inline distT="0" distB="0" distL="0" distR="0">
            <wp:extent cx="5943600" cy="6220888"/>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srcRect/>
                    <a:stretch>
                      <a:fillRect/>
                    </a:stretch>
                  </pic:blipFill>
                  <pic:spPr bwMode="auto">
                    <a:xfrm>
                      <a:off x="0" y="0"/>
                      <a:ext cx="5943600" cy="6220888"/>
                    </a:xfrm>
                    <a:prstGeom prst="rect">
                      <a:avLst/>
                    </a:prstGeom>
                    <a:noFill/>
                    <a:ln w="9525">
                      <a:noFill/>
                      <a:miter lim="800000"/>
                      <a:headEnd/>
                      <a:tailEnd/>
                    </a:ln>
                  </pic:spPr>
                </pic:pic>
              </a:graphicData>
            </a:graphic>
          </wp:inline>
        </w:drawing>
      </w:r>
    </w:p>
    <w:p w:rsidR="00575108" w:rsidRPr="007129A9" w:rsidRDefault="007E2C4A" w:rsidP="00575108">
      <w:pPr>
        <w:spacing w:before="120" w:line="300" w:lineRule="atLeast"/>
        <w:jc w:val="both"/>
        <w:rPr>
          <w:noProof/>
        </w:rPr>
      </w:pPr>
      <w:r w:rsidRPr="007E2C4A">
        <w:rPr>
          <w:rFonts w:ascii="Calibri" w:hAnsi="Calibri" w:cs="Calibri"/>
          <w:b/>
        </w:rPr>
        <w:lastRenderedPageBreak/>
        <w:t>Table App.A.3</w:t>
      </w:r>
      <w:r w:rsidRPr="007E2C4A">
        <w:rPr>
          <w:rFonts w:ascii="Calibri" w:hAnsi="Calibri" w:cs="Calibri"/>
        </w:rPr>
        <w:t xml:space="preserve">: Survey abundance estimates and associated standard errors in thousand tons for </w:t>
      </w:r>
      <w:r w:rsidRPr="007E2C4A">
        <w:rPr>
          <w:rFonts w:ascii="Calibri" w:hAnsi="Calibri" w:cs="Calibri"/>
          <w:i/>
        </w:rPr>
        <w:t>M. paradoxus</w:t>
      </w:r>
      <w:r w:rsidRPr="007E2C4A">
        <w:rPr>
          <w:rFonts w:ascii="Calibri" w:hAnsi="Calibri" w:cs="Calibri"/>
        </w:rPr>
        <w:t xml:space="preserve"> for the depth range 0-500m for the South Coast and for the West Coast (Fairweather, pers. comm.). Values in bold are for the surveys conducted by the </w:t>
      </w:r>
      <w:r w:rsidRPr="007E2C4A">
        <w:rPr>
          <w:rFonts w:ascii="Calibri" w:hAnsi="Calibri" w:cs="Calibri"/>
          <w:i/>
        </w:rPr>
        <w:t>Africana</w:t>
      </w:r>
      <w:r w:rsidRPr="007E2C4A">
        <w:rPr>
          <w:rFonts w:ascii="Calibri" w:hAnsi="Calibri" w:cs="Calibri"/>
        </w:rPr>
        <w:t xml:space="preserve"> with the new gear. Shaded cells are for the surveys conducted by the </w:t>
      </w:r>
      <w:r w:rsidRPr="007E2C4A">
        <w:rPr>
          <w:rFonts w:ascii="Calibri" w:hAnsi="Calibri" w:cs="Calibri"/>
          <w:i/>
        </w:rPr>
        <w:t>Andromeda</w:t>
      </w:r>
      <w:r w:rsidRPr="007E2C4A">
        <w:rPr>
          <w:rFonts w:ascii="Calibri" w:hAnsi="Calibri" w:cs="Calibri"/>
        </w:rPr>
        <w:t>.</w:t>
      </w:r>
    </w:p>
    <w:p w:rsidR="002A307B" w:rsidRDefault="0065466F" w:rsidP="00F275F6">
      <w:pPr>
        <w:spacing w:after="120" w:line="240" w:lineRule="auto"/>
        <w:jc w:val="both"/>
      </w:pPr>
      <w:r w:rsidRPr="0065466F">
        <w:rPr>
          <w:noProof/>
          <w:lang w:val="en-US" w:eastAsia="en-US"/>
        </w:rPr>
        <w:drawing>
          <wp:inline distT="0" distB="0" distL="0" distR="0">
            <wp:extent cx="5947410" cy="500525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5947410" cy="5005250"/>
                    </a:xfrm>
                    <a:prstGeom prst="rect">
                      <a:avLst/>
                    </a:prstGeom>
                  </pic:spPr>
                </pic:pic>
              </a:graphicData>
            </a:graphic>
          </wp:inline>
        </w:drawing>
      </w:r>
    </w:p>
    <w:p w:rsidR="00575108" w:rsidRDefault="00575108" w:rsidP="00F275F6">
      <w:pPr>
        <w:spacing w:after="120" w:line="240" w:lineRule="auto"/>
        <w:jc w:val="both"/>
        <w:sectPr w:rsidR="00575108" w:rsidSect="001B786B">
          <w:pgSz w:w="12240" w:h="15840"/>
          <w:pgMar w:top="1440" w:right="1440" w:bottom="1440" w:left="1440" w:header="708" w:footer="708" w:gutter="0"/>
          <w:cols w:space="708"/>
          <w:docGrid w:linePitch="360"/>
        </w:sectPr>
      </w:pPr>
    </w:p>
    <w:p w:rsidR="00575108" w:rsidRPr="007129A9" w:rsidRDefault="007E2C4A" w:rsidP="00F275F6">
      <w:pPr>
        <w:spacing w:after="120" w:line="240" w:lineRule="auto"/>
        <w:jc w:val="both"/>
        <w:rPr>
          <w:rFonts w:ascii="Calibri" w:hAnsi="Calibri" w:cs="Calibri"/>
        </w:rPr>
      </w:pPr>
      <w:r w:rsidRPr="007E2C4A">
        <w:rPr>
          <w:rFonts w:ascii="Calibri" w:hAnsi="Calibri" w:cs="Calibri"/>
          <w:b/>
        </w:rPr>
        <w:lastRenderedPageBreak/>
        <w:t>Table App.A.4</w:t>
      </w:r>
      <w:r w:rsidRPr="007E2C4A">
        <w:rPr>
          <w:rFonts w:ascii="Calibri" w:hAnsi="Calibri" w:cs="Calibri"/>
        </w:rPr>
        <w:t xml:space="preserve">: Survey abundance estimates and associated standard errors in thousand tons for </w:t>
      </w:r>
      <w:r w:rsidRPr="007E2C4A">
        <w:rPr>
          <w:rFonts w:ascii="Calibri" w:hAnsi="Calibri" w:cs="Calibri"/>
          <w:i/>
        </w:rPr>
        <w:t>M. capensis</w:t>
      </w:r>
      <w:r w:rsidRPr="007E2C4A">
        <w:rPr>
          <w:rFonts w:ascii="Calibri" w:hAnsi="Calibri" w:cs="Calibri"/>
        </w:rPr>
        <w:t xml:space="preserve"> for the depth range 0-500m for the South Coast and for the West Coast (Fairweather, pers. commn). Values in bold are for the surveys conducted by the </w:t>
      </w:r>
      <w:r w:rsidRPr="007E2C4A">
        <w:rPr>
          <w:rFonts w:ascii="Calibri" w:hAnsi="Calibri" w:cs="Calibri"/>
          <w:i/>
        </w:rPr>
        <w:t>Africana</w:t>
      </w:r>
      <w:r w:rsidRPr="007E2C4A">
        <w:rPr>
          <w:rFonts w:ascii="Calibri" w:hAnsi="Calibri" w:cs="Calibri"/>
        </w:rPr>
        <w:t xml:space="preserve"> with the new gear. Shaded cells are for the surveys conducted by the </w:t>
      </w:r>
      <w:r w:rsidRPr="007E2C4A">
        <w:rPr>
          <w:rFonts w:ascii="Calibri" w:hAnsi="Calibri" w:cs="Calibri"/>
          <w:i/>
        </w:rPr>
        <w:t>Andromeda</w:t>
      </w:r>
      <w:r w:rsidRPr="007E2C4A">
        <w:rPr>
          <w:rFonts w:ascii="Calibri" w:hAnsi="Calibri" w:cs="Calibri"/>
        </w:rPr>
        <w:t>.</w:t>
      </w:r>
    </w:p>
    <w:p w:rsidR="002919DE" w:rsidRPr="00785339" w:rsidRDefault="0065466F" w:rsidP="00F275F6">
      <w:pPr>
        <w:spacing w:after="120" w:line="240" w:lineRule="auto"/>
        <w:jc w:val="both"/>
      </w:pPr>
      <w:r w:rsidRPr="0065466F">
        <w:rPr>
          <w:noProof/>
          <w:lang w:val="en-US" w:eastAsia="en-US"/>
        </w:rPr>
        <w:drawing>
          <wp:inline distT="0" distB="0" distL="0" distR="0">
            <wp:extent cx="4999154" cy="501396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4999154" cy="5013960"/>
                    </a:xfrm>
                    <a:prstGeom prst="rect">
                      <a:avLst/>
                    </a:prstGeom>
                  </pic:spPr>
                </pic:pic>
              </a:graphicData>
            </a:graphic>
          </wp:inline>
        </w:drawing>
      </w:r>
    </w:p>
    <w:sectPr w:rsidR="002919DE" w:rsidRPr="00785339" w:rsidSect="001B786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5C" w:rsidRDefault="004B5D5C" w:rsidP="0043624C">
      <w:pPr>
        <w:spacing w:after="0" w:line="240" w:lineRule="auto"/>
      </w:pPr>
      <w:r>
        <w:separator/>
      </w:r>
    </w:p>
  </w:endnote>
  <w:endnote w:type="continuationSeparator" w:id="0">
    <w:p w:rsidR="004B5D5C" w:rsidRDefault="004B5D5C" w:rsidP="0043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037805"/>
      <w:docPartObj>
        <w:docPartGallery w:val="Page Numbers (Bottom of Page)"/>
        <w:docPartUnique/>
      </w:docPartObj>
    </w:sdtPr>
    <w:sdtEndPr/>
    <w:sdtContent>
      <w:p w:rsidR="00C463B4" w:rsidRDefault="008B494A">
        <w:pPr>
          <w:pStyle w:val="Footer"/>
          <w:jc w:val="right"/>
        </w:pPr>
        <w:r>
          <w:fldChar w:fldCharType="begin"/>
        </w:r>
        <w:r w:rsidR="002C2346">
          <w:instrText xml:space="preserve"> PAGE   \* MERGEFORMAT </w:instrText>
        </w:r>
        <w:r>
          <w:fldChar w:fldCharType="separate"/>
        </w:r>
        <w:r w:rsidR="00DB6111">
          <w:rPr>
            <w:noProof/>
          </w:rPr>
          <w:t>1</w:t>
        </w:r>
        <w:r>
          <w:rPr>
            <w:noProof/>
          </w:rPr>
          <w:fldChar w:fldCharType="end"/>
        </w:r>
      </w:p>
    </w:sdtContent>
  </w:sdt>
  <w:p w:rsidR="00C463B4" w:rsidRDefault="00C463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5C" w:rsidRDefault="004B5D5C" w:rsidP="0043624C">
      <w:pPr>
        <w:spacing w:after="0" w:line="240" w:lineRule="auto"/>
      </w:pPr>
      <w:r>
        <w:separator/>
      </w:r>
    </w:p>
  </w:footnote>
  <w:footnote w:type="continuationSeparator" w:id="0">
    <w:p w:rsidR="004B5D5C" w:rsidRDefault="004B5D5C" w:rsidP="004362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4C" w:rsidRPr="000374A5" w:rsidRDefault="000374A5" w:rsidP="000374A5">
    <w:pPr>
      <w:pStyle w:val="Header"/>
      <w:jc w:val="right"/>
    </w:pPr>
    <w:r w:rsidRPr="000374A5">
      <w:rPr>
        <w:rFonts w:asciiTheme="minorHAnsi" w:hAnsiTheme="minorHAnsi"/>
        <w:sz w:val="22"/>
        <w:szCs w:val="22"/>
      </w:rPr>
      <w:t>FISHERIES/2015/AUG/SWG-DEM/1</w:t>
    </w:r>
    <w:r>
      <w:rPr>
        <w:rFonts w:asciiTheme="minorHAnsi" w:hAnsiTheme="minorHAnsi"/>
        <w:sz w:val="22"/>
        <w:szCs w:val="22"/>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C665C"/>
    <w:multiLevelType w:val="hybridMultilevel"/>
    <w:tmpl w:val="0D76D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D0AB4"/>
    <w:multiLevelType w:val="hybridMultilevel"/>
    <w:tmpl w:val="83C23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7B"/>
    <w:rsid w:val="00024A00"/>
    <w:rsid w:val="000340C9"/>
    <w:rsid w:val="00034E6A"/>
    <w:rsid w:val="000374A5"/>
    <w:rsid w:val="00056841"/>
    <w:rsid w:val="00063F5B"/>
    <w:rsid w:val="00095C0F"/>
    <w:rsid w:val="000B1027"/>
    <w:rsid w:val="00103E50"/>
    <w:rsid w:val="00113DDC"/>
    <w:rsid w:val="001207C7"/>
    <w:rsid w:val="00147544"/>
    <w:rsid w:val="001531B7"/>
    <w:rsid w:val="001750E2"/>
    <w:rsid w:val="00181C37"/>
    <w:rsid w:val="001855EE"/>
    <w:rsid w:val="001A182D"/>
    <w:rsid w:val="001B7462"/>
    <w:rsid w:val="001B786B"/>
    <w:rsid w:val="00217F70"/>
    <w:rsid w:val="00265928"/>
    <w:rsid w:val="002919DE"/>
    <w:rsid w:val="002A307B"/>
    <w:rsid w:val="002A519D"/>
    <w:rsid w:val="002C2346"/>
    <w:rsid w:val="002D1B5B"/>
    <w:rsid w:val="002E4223"/>
    <w:rsid w:val="00303534"/>
    <w:rsid w:val="00344886"/>
    <w:rsid w:val="00345E60"/>
    <w:rsid w:val="00351092"/>
    <w:rsid w:val="003740F3"/>
    <w:rsid w:val="00395F6F"/>
    <w:rsid w:val="00401EBC"/>
    <w:rsid w:val="00411E95"/>
    <w:rsid w:val="004169F6"/>
    <w:rsid w:val="0043624C"/>
    <w:rsid w:val="00442343"/>
    <w:rsid w:val="004B5D5C"/>
    <w:rsid w:val="004C06B1"/>
    <w:rsid w:val="00524CFD"/>
    <w:rsid w:val="0054353C"/>
    <w:rsid w:val="00562A20"/>
    <w:rsid w:val="00575108"/>
    <w:rsid w:val="005A12B2"/>
    <w:rsid w:val="00600874"/>
    <w:rsid w:val="00607CEB"/>
    <w:rsid w:val="006211E0"/>
    <w:rsid w:val="006431E2"/>
    <w:rsid w:val="0065466F"/>
    <w:rsid w:val="00672A78"/>
    <w:rsid w:val="00692308"/>
    <w:rsid w:val="006A165A"/>
    <w:rsid w:val="006E1F85"/>
    <w:rsid w:val="007129A9"/>
    <w:rsid w:val="00785339"/>
    <w:rsid w:val="007B7966"/>
    <w:rsid w:val="007D0F76"/>
    <w:rsid w:val="007E2C4A"/>
    <w:rsid w:val="007F6AC9"/>
    <w:rsid w:val="008075EA"/>
    <w:rsid w:val="008151C9"/>
    <w:rsid w:val="0083514F"/>
    <w:rsid w:val="00883A77"/>
    <w:rsid w:val="00896C13"/>
    <w:rsid w:val="008B494A"/>
    <w:rsid w:val="008D02E6"/>
    <w:rsid w:val="00944464"/>
    <w:rsid w:val="009507AA"/>
    <w:rsid w:val="009544F2"/>
    <w:rsid w:val="009804CB"/>
    <w:rsid w:val="00997A6C"/>
    <w:rsid w:val="009A2688"/>
    <w:rsid w:val="009D6ED0"/>
    <w:rsid w:val="009E2655"/>
    <w:rsid w:val="00A10D3C"/>
    <w:rsid w:val="00A30DBC"/>
    <w:rsid w:val="00A41350"/>
    <w:rsid w:val="00A5100C"/>
    <w:rsid w:val="00A52860"/>
    <w:rsid w:val="00A5322D"/>
    <w:rsid w:val="00A74D68"/>
    <w:rsid w:val="00A96F20"/>
    <w:rsid w:val="00AA32EC"/>
    <w:rsid w:val="00AB4053"/>
    <w:rsid w:val="00BD6D5E"/>
    <w:rsid w:val="00C111C8"/>
    <w:rsid w:val="00C15076"/>
    <w:rsid w:val="00C463B4"/>
    <w:rsid w:val="00C567CF"/>
    <w:rsid w:val="00C6178D"/>
    <w:rsid w:val="00C62611"/>
    <w:rsid w:val="00CB7C25"/>
    <w:rsid w:val="00CE00B4"/>
    <w:rsid w:val="00CE0AA6"/>
    <w:rsid w:val="00CF6732"/>
    <w:rsid w:val="00CF7EE9"/>
    <w:rsid w:val="00D23961"/>
    <w:rsid w:val="00D27929"/>
    <w:rsid w:val="00D67C83"/>
    <w:rsid w:val="00DA3EDB"/>
    <w:rsid w:val="00DB6111"/>
    <w:rsid w:val="00DF3D89"/>
    <w:rsid w:val="00E00FE8"/>
    <w:rsid w:val="00E26B03"/>
    <w:rsid w:val="00E41142"/>
    <w:rsid w:val="00E55DB4"/>
    <w:rsid w:val="00EB128A"/>
    <w:rsid w:val="00ED2636"/>
    <w:rsid w:val="00F15666"/>
    <w:rsid w:val="00F275F6"/>
    <w:rsid w:val="00F30E23"/>
    <w:rsid w:val="00F6774A"/>
    <w:rsid w:val="00F72A36"/>
    <w:rsid w:val="00F74482"/>
    <w:rsid w:val="00F915B2"/>
    <w:rsid w:val="00FA043F"/>
    <w:rsid w:val="00FE0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BodyText"/>
    <w:link w:val="Heading4Char"/>
    <w:qFormat/>
    <w:rsid w:val="002A307B"/>
    <w:pPr>
      <w:spacing w:before="480" w:after="360" w:line="480" w:lineRule="auto"/>
      <w:outlineLvl w:val="3"/>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7B"/>
    <w:rPr>
      <w:rFonts w:ascii="Tahoma" w:hAnsi="Tahoma" w:cs="Tahoma"/>
      <w:sz w:val="16"/>
      <w:szCs w:val="16"/>
    </w:rPr>
  </w:style>
  <w:style w:type="character" w:styleId="Hyperlink">
    <w:name w:val="Hyperlink"/>
    <w:basedOn w:val="DefaultParagraphFont"/>
    <w:uiPriority w:val="99"/>
    <w:unhideWhenUsed/>
    <w:rsid w:val="002A307B"/>
    <w:rPr>
      <w:color w:val="0000FF" w:themeColor="hyperlink"/>
      <w:u w:val="single"/>
    </w:rPr>
  </w:style>
  <w:style w:type="character" w:customStyle="1" w:styleId="Heading4Char">
    <w:name w:val="Heading 4 Char"/>
    <w:basedOn w:val="DefaultParagraphFont"/>
    <w:link w:val="Heading4"/>
    <w:rsid w:val="002A307B"/>
    <w:rPr>
      <w:rFonts w:ascii="Times New Roman" w:eastAsia="Times New Roman" w:hAnsi="Times New Roman" w:cs="Times New Roman"/>
      <w:b/>
      <w:sz w:val="32"/>
      <w:szCs w:val="20"/>
      <w:lang w:val="en-ZA"/>
    </w:rPr>
  </w:style>
  <w:style w:type="paragraph" w:styleId="BodyText">
    <w:name w:val="Body Text"/>
    <w:basedOn w:val="Normal"/>
    <w:link w:val="BodyTextChar"/>
    <w:rsid w:val="002A307B"/>
    <w:pPr>
      <w:spacing w:after="0" w:line="240" w:lineRule="auto"/>
    </w:pPr>
    <w:rPr>
      <w:rFonts w:ascii="Times New Roman" w:eastAsia="Times New Roman" w:hAnsi="Times New Roman" w:cs="Times New Roman"/>
      <w:sz w:val="32"/>
      <w:szCs w:val="24"/>
      <w:lang w:val="en-GB"/>
    </w:rPr>
  </w:style>
  <w:style w:type="character" w:customStyle="1" w:styleId="BodyTextChar">
    <w:name w:val="Body Text Char"/>
    <w:basedOn w:val="DefaultParagraphFont"/>
    <w:link w:val="BodyText"/>
    <w:rsid w:val="002A307B"/>
    <w:rPr>
      <w:rFonts w:ascii="Times New Roman" w:eastAsia="Times New Roman" w:hAnsi="Times New Roman" w:cs="Times New Roman"/>
      <w:sz w:val="32"/>
      <w:szCs w:val="24"/>
      <w:lang w:val="en-GB"/>
    </w:rPr>
  </w:style>
  <w:style w:type="paragraph" w:styleId="Header">
    <w:name w:val="header"/>
    <w:basedOn w:val="Normal"/>
    <w:link w:val="HeaderChar"/>
    <w:uiPriority w:val="99"/>
    <w:rsid w:val="0078533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8533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85339"/>
    <w:pPr>
      <w:spacing w:after="120" w:line="480" w:lineRule="auto"/>
    </w:pPr>
  </w:style>
  <w:style w:type="character" w:customStyle="1" w:styleId="BodyText2Char">
    <w:name w:val="Body Text 2 Char"/>
    <w:basedOn w:val="DefaultParagraphFont"/>
    <w:link w:val="BodyText2"/>
    <w:uiPriority w:val="99"/>
    <w:semiHidden/>
    <w:rsid w:val="00785339"/>
  </w:style>
  <w:style w:type="paragraph" w:styleId="Footer">
    <w:name w:val="footer"/>
    <w:basedOn w:val="Normal"/>
    <w:link w:val="FooterChar"/>
    <w:uiPriority w:val="99"/>
    <w:unhideWhenUsed/>
    <w:rsid w:val="00436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4C"/>
  </w:style>
  <w:style w:type="character" w:customStyle="1" w:styleId="apple-converted-space">
    <w:name w:val="apple-converted-space"/>
    <w:basedOn w:val="DefaultParagraphFont"/>
    <w:rsid w:val="0043624C"/>
  </w:style>
  <w:style w:type="character" w:customStyle="1" w:styleId="il">
    <w:name w:val="il"/>
    <w:basedOn w:val="DefaultParagraphFont"/>
    <w:rsid w:val="0043624C"/>
  </w:style>
  <w:style w:type="paragraph" w:styleId="ListParagraph">
    <w:name w:val="List Paragraph"/>
    <w:basedOn w:val="Normal"/>
    <w:uiPriority w:val="34"/>
    <w:qFormat/>
    <w:rsid w:val="004169F6"/>
    <w:pPr>
      <w:spacing w:after="0" w:line="240" w:lineRule="auto"/>
      <w:ind w:left="720"/>
      <w:contextualSpacing/>
    </w:pPr>
  </w:style>
  <w:style w:type="character" w:styleId="CommentReference">
    <w:name w:val="annotation reference"/>
    <w:basedOn w:val="DefaultParagraphFont"/>
    <w:uiPriority w:val="99"/>
    <w:semiHidden/>
    <w:unhideWhenUsed/>
    <w:rsid w:val="00E00FE8"/>
    <w:rPr>
      <w:sz w:val="16"/>
      <w:szCs w:val="16"/>
    </w:rPr>
  </w:style>
  <w:style w:type="paragraph" w:styleId="CommentText">
    <w:name w:val="annotation text"/>
    <w:basedOn w:val="Normal"/>
    <w:link w:val="CommentTextChar"/>
    <w:uiPriority w:val="99"/>
    <w:semiHidden/>
    <w:unhideWhenUsed/>
    <w:rsid w:val="00E00FE8"/>
    <w:pPr>
      <w:spacing w:line="240" w:lineRule="auto"/>
    </w:pPr>
    <w:rPr>
      <w:sz w:val="20"/>
      <w:szCs w:val="20"/>
    </w:rPr>
  </w:style>
  <w:style w:type="character" w:customStyle="1" w:styleId="CommentTextChar">
    <w:name w:val="Comment Text Char"/>
    <w:basedOn w:val="DefaultParagraphFont"/>
    <w:link w:val="CommentText"/>
    <w:uiPriority w:val="99"/>
    <w:semiHidden/>
    <w:rsid w:val="00E00FE8"/>
    <w:rPr>
      <w:sz w:val="20"/>
      <w:szCs w:val="20"/>
    </w:rPr>
  </w:style>
  <w:style w:type="paragraph" w:styleId="CommentSubject">
    <w:name w:val="annotation subject"/>
    <w:basedOn w:val="CommentText"/>
    <w:next w:val="CommentText"/>
    <w:link w:val="CommentSubjectChar"/>
    <w:uiPriority w:val="99"/>
    <w:semiHidden/>
    <w:unhideWhenUsed/>
    <w:rsid w:val="00E00FE8"/>
    <w:rPr>
      <w:b/>
      <w:bCs/>
    </w:rPr>
  </w:style>
  <w:style w:type="character" w:customStyle="1" w:styleId="CommentSubjectChar">
    <w:name w:val="Comment Subject Char"/>
    <w:basedOn w:val="CommentTextChar"/>
    <w:link w:val="CommentSubject"/>
    <w:uiPriority w:val="99"/>
    <w:semiHidden/>
    <w:rsid w:val="00E00FE8"/>
    <w:rPr>
      <w:b/>
      <w:bCs/>
      <w:sz w:val="20"/>
      <w:szCs w:val="20"/>
    </w:rPr>
  </w:style>
  <w:style w:type="paragraph" w:styleId="BodyText3">
    <w:name w:val="Body Text 3"/>
    <w:basedOn w:val="Normal"/>
    <w:link w:val="BodyText3Char"/>
    <w:uiPriority w:val="99"/>
    <w:semiHidden/>
    <w:unhideWhenUsed/>
    <w:rsid w:val="00217F70"/>
    <w:pPr>
      <w:spacing w:after="120"/>
    </w:pPr>
    <w:rPr>
      <w:sz w:val="16"/>
      <w:szCs w:val="16"/>
    </w:rPr>
  </w:style>
  <w:style w:type="character" w:customStyle="1" w:styleId="BodyText3Char">
    <w:name w:val="Body Text 3 Char"/>
    <w:basedOn w:val="DefaultParagraphFont"/>
    <w:link w:val="BodyText3"/>
    <w:uiPriority w:val="99"/>
    <w:semiHidden/>
    <w:rsid w:val="00217F70"/>
    <w:rPr>
      <w:sz w:val="16"/>
      <w:szCs w:val="16"/>
    </w:rPr>
  </w:style>
  <w:style w:type="paragraph" w:styleId="FootnoteText">
    <w:name w:val="footnote text"/>
    <w:basedOn w:val="Normal"/>
    <w:link w:val="FootnoteTextChar"/>
    <w:rsid w:val="00217F7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217F70"/>
    <w:rPr>
      <w:rFonts w:ascii="Times New Roman" w:eastAsia="Times New Roman" w:hAnsi="Times New Roman" w:cs="Times New Roman"/>
      <w:sz w:val="20"/>
      <w:szCs w:val="20"/>
      <w:lang w:val="en-GB"/>
    </w:rPr>
  </w:style>
  <w:style w:type="character" w:styleId="FootnoteReference">
    <w:name w:val="footnote reference"/>
    <w:rsid w:val="00217F70"/>
    <w:rPr>
      <w:vertAlign w:val="superscript"/>
    </w:rPr>
  </w:style>
  <w:style w:type="paragraph" w:styleId="DocumentMap">
    <w:name w:val="Document Map"/>
    <w:basedOn w:val="Normal"/>
    <w:link w:val="DocumentMapChar"/>
    <w:uiPriority w:val="99"/>
    <w:semiHidden/>
    <w:unhideWhenUsed/>
    <w:rsid w:val="00DB611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B6111"/>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BodyText"/>
    <w:link w:val="Heading4Char"/>
    <w:qFormat/>
    <w:rsid w:val="002A307B"/>
    <w:pPr>
      <w:spacing w:before="480" w:after="360" w:line="480" w:lineRule="auto"/>
      <w:outlineLvl w:val="3"/>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7B"/>
    <w:rPr>
      <w:rFonts w:ascii="Tahoma" w:hAnsi="Tahoma" w:cs="Tahoma"/>
      <w:sz w:val="16"/>
      <w:szCs w:val="16"/>
    </w:rPr>
  </w:style>
  <w:style w:type="character" w:styleId="Hyperlink">
    <w:name w:val="Hyperlink"/>
    <w:basedOn w:val="DefaultParagraphFont"/>
    <w:uiPriority w:val="99"/>
    <w:unhideWhenUsed/>
    <w:rsid w:val="002A307B"/>
    <w:rPr>
      <w:color w:val="0000FF" w:themeColor="hyperlink"/>
      <w:u w:val="single"/>
    </w:rPr>
  </w:style>
  <w:style w:type="character" w:customStyle="1" w:styleId="Heading4Char">
    <w:name w:val="Heading 4 Char"/>
    <w:basedOn w:val="DefaultParagraphFont"/>
    <w:link w:val="Heading4"/>
    <w:rsid w:val="002A307B"/>
    <w:rPr>
      <w:rFonts w:ascii="Times New Roman" w:eastAsia="Times New Roman" w:hAnsi="Times New Roman" w:cs="Times New Roman"/>
      <w:b/>
      <w:sz w:val="32"/>
      <w:szCs w:val="20"/>
      <w:lang w:val="en-ZA"/>
    </w:rPr>
  </w:style>
  <w:style w:type="paragraph" w:styleId="BodyText">
    <w:name w:val="Body Text"/>
    <w:basedOn w:val="Normal"/>
    <w:link w:val="BodyTextChar"/>
    <w:rsid w:val="002A307B"/>
    <w:pPr>
      <w:spacing w:after="0" w:line="240" w:lineRule="auto"/>
    </w:pPr>
    <w:rPr>
      <w:rFonts w:ascii="Times New Roman" w:eastAsia="Times New Roman" w:hAnsi="Times New Roman" w:cs="Times New Roman"/>
      <w:sz w:val="32"/>
      <w:szCs w:val="24"/>
      <w:lang w:val="en-GB"/>
    </w:rPr>
  </w:style>
  <w:style w:type="character" w:customStyle="1" w:styleId="BodyTextChar">
    <w:name w:val="Body Text Char"/>
    <w:basedOn w:val="DefaultParagraphFont"/>
    <w:link w:val="BodyText"/>
    <w:rsid w:val="002A307B"/>
    <w:rPr>
      <w:rFonts w:ascii="Times New Roman" w:eastAsia="Times New Roman" w:hAnsi="Times New Roman" w:cs="Times New Roman"/>
      <w:sz w:val="32"/>
      <w:szCs w:val="24"/>
      <w:lang w:val="en-GB"/>
    </w:rPr>
  </w:style>
  <w:style w:type="paragraph" w:styleId="Header">
    <w:name w:val="header"/>
    <w:basedOn w:val="Normal"/>
    <w:link w:val="HeaderChar"/>
    <w:uiPriority w:val="99"/>
    <w:rsid w:val="0078533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8533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85339"/>
    <w:pPr>
      <w:spacing w:after="120" w:line="480" w:lineRule="auto"/>
    </w:pPr>
  </w:style>
  <w:style w:type="character" w:customStyle="1" w:styleId="BodyText2Char">
    <w:name w:val="Body Text 2 Char"/>
    <w:basedOn w:val="DefaultParagraphFont"/>
    <w:link w:val="BodyText2"/>
    <w:uiPriority w:val="99"/>
    <w:semiHidden/>
    <w:rsid w:val="00785339"/>
  </w:style>
  <w:style w:type="paragraph" w:styleId="Footer">
    <w:name w:val="footer"/>
    <w:basedOn w:val="Normal"/>
    <w:link w:val="FooterChar"/>
    <w:uiPriority w:val="99"/>
    <w:unhideWhenUsed/>
    <w:rsid w:val="00436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4C"/>
  </w:style>
  <w:style w:type="character" w:customStyle="1" w:styleId="apple-converted-space">
    <w:name w:val="apple-converted-space"/>
    <w:basedOn w:val="DefaultParagraphFont"/>
    <w:rsid w:val="0043624C"/>
  </w:style>
  <w:style w:type="character" w:customStyle="1" w:styleId="il">
    <w:name w:val="il"/>
    <w:basedOn w:val="DefaultParagraphFont"/>
    <w:rsid w:val="0043624C"/>
  </w:style>
  <w:style w:type="paragraph" w:styleId="ListParagraph">
    <w:name w:val="List Paragraph"/>
    <w:basedOn w:val="Normal"/>
    <w:uiPriority w:val="34"/>
    <w:qFormat/>
    <w:rsid w:val="004169F6"/>
    <w:pPr>
      <w:spacing w:after="0" w:line="240" w:lineRule="auto"/>
      <w:ind w:left="720"/>
      <w:contextualSpacing/>
    </w:pPr>
  </w:style>
  <w:style w:type="character" w:styleId="CommentReference">
    <w:name w:val="annotation reference"/>
    <w:basedOn w:val="DefaultParagraphFont"/>
    <w:uiPriority w:val="99"/>
    <w:semiHidden/>
    <w:unhideWhenUsed/>
    <w:rsid w:val="00E00FE8"/>
    <w:rPr>
      <w:sz w:val="16"/>
      <w:szCs w:val="16"/>
    </w:rPr>
  </w:style>
  <w:style w:type="paragraph" w:styleId="CommentText">
    <w:name w:val="annotation text"/>
    <w:basedOn w:val="Normal"/>
    <w:link w:val="CommentTextChar"/>
    <w:uiPriority w:val="99"/>
    <w:semiHidden/>
    <w:unhideWhenUsed/>
    <w:rsid w:val="00E00FE8"/>
    <w:pPr>
      <w:spacing w:line="240" w:lineRule="auto"/>
    </w:pPr>
    <w:rPr>
      <w:sz w:val="20"/>
      <w:szCs w:val="20"/>
    </w:rPr>
  </w:style>
  <w:style w:type="character" w:customStyle="1" w:styleId="CommentTextChar">
    <w:name w:val="Comment Text Char"/>
    <w:basedOn w:val="DefaultParagraphFont"/>
    <w:link w:val="CommentText"/>
    <w:uiPriority w:val="99"/>
    <w:semiHidden/>
    <w:rsid w:val="00E00FE8"/>
    <w:rPr>
      <w:sz w:val="20"/>
      <w:szCs w:val="20"/>
    </w:rPr>
  </w:style>
  <w:style w:type="paragraph" w:styleId="CommentSubject">
    <w:name w:val="annotation subject"/>
    <w:basedOn w:val="CommentText"/>
    <w:next w:val="CommentText"/>
    <w:link w:val="CommentSubjectChar"/>
    <w:uiPriority w:val="99"/>
    <w:semiHidden/>
    <w:unhideWhenUsed/>
    <w:rsid w:val="00E00FE8"/>
    <w:rPr>
      <w:b/>
      <w:bCs/>
    </w:rPr>
  </w:style>
  <w:style w:type="character" w:customStyle="1" w:styleId="CommentSubjectChar">
    <w:name w:val="Comment Subject Char"/>
    <w:basedOn w:val="CommentTextChar"/>
    <w:link w:val="CommentSubject"/>
    <w:uiPriority w:val="99"/>
    <w:semiHidden/>
    <w:rsid w:val="00E00FE8"/>
    <w:rPr>
      <w:b/>
      <w:bCs/>
      <w:sz w:val="20"/>
      <w:szCs w:val="20"/>
    </w:rPr>
  </w:style>
  <w:style w:type="paragraph" w:styleId="BodyText3">
    <w:name w:val="Body Text 3"/>
    <w:basedOn w:val="Normal"/>
    <w:link w:val="BodyText3Char"/>
    <w:uiPriority w:val="99"/>
    <w:semiHidden/>
    <w:unhideWhenUsed/>
    <w:rsid w:val="00217F70"/>
    <w:pPr>
      <w:spacing w:after="120"/>
    </w:pPr>
    <w:rPr>
      <w:sz w:val="16"/>
      <w:szCs w:val="16"/>
    </w:rPr>
  </w:style>
  <w:style w:type="character" w:customStyle="1" w:styleId="BodyText3Char">
    <w:name w:val="Body Text 3 Char"/>
    <w:basedOn w:val="DefaultParagraphFont"/>
    <w:link w:val="BodyText3"/>
    <w:uiPriority w:val="99"/>
    <w:semiHidden/>
    <w:rsid w:val="00217F70"/>
    <w:rPr>
      <w:sz w:val="16"/>
      <w:szCs w:val="16"/>
    </w:rPr>
  </w:style>
  <w:style w:type="paragraph" w:styleId="FootnoteText">
    <w:name w:val="footnote text"/>
    <w:basedOn w:val="Normal"/>
    <w:link w:val="FootnoteTextChar"/>
    <w:rsid w:val="00217F7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217F70"/>
    <w:rPr>
      <w:rFonts w:ascii="Times New Roman" w:eastAsia="Times New Roman" w:hAnsi="Times New Roman" w:cs="Times New Roman"/>
      <w:sz w:val="20"/>
      <w:szCs w:val="20"/>
      <w:lang w:val="en-GB"/>
    </w:rPr>
  </w:style>
  <w:style w:type="character" w:styleId="FootnoteReference">
    <w:name w:val="footnote reference"/>
    <w:rsid w:val="00217F70"/>
    <w:rPr>
      <w:vertAlign w:val="superscript"/>
    </w:rPr>
  </w:style>
  <w:style w:type="paragraph" w:styleId="DocumentMap">
    <w:name w:val="Document Map"/>
    <w:basedOn w:val="Normal"/>
    <w:link w:val="DocumentMapChar"/>
    <w:uiPriority w:val="99"/>
    <w:semiHidden/>
    <w:unhideWhenUsed/>
    <w:rsid w:val="00DB611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B611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2002">
      <w:bodyDiv w:val="1"/>
      <w:marLeft w:val="0"/>
      <w:marRight w:val="0"/>
      <w:marTop w:val="0"/>
      <w:marBottom w:val="0"/>
      <w:divBdr>
        <w:top w:val="none" w:sz="0" w:space="0" w:color="auto"/>
        <w:left w:val="none" w:sz="0" w:space="0" w:color="auto"/>
        <w:bottom w:val="none" w:sz="0" w:space="0" w:color="auto"/>
        <w:right w:val="none" w:sz="0" w:space="0" w:color="auto"/>
      </w:divBdr>
    </w:div>
    <w:div w:id="741172545">
      <w:bodyDiv w:val="1"/>
      <w:marLeft w:val="0"/>
      <w:marRight w:val="0"/>
      <w:marTop w:val="0"/>
      <w:marBottom w:val="0"/>
      <w:divBdr>
        <w:top w:val="none" w:sz="0" w:space="0" w:color="auto"/>
        <w:left w:val="none" w:sz="0" w:space="0" w:color="auto"/>
        <w:bottom w:val="none" w:sz="0" w:space="0" w:color="auto"/>
        <w:right w:val="none" w:sz="0" w:space="0" w:color="auto"/>
      </w:divBdr>
    </w:div>
    <w:div w:id="13549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Microsoft_Equation6.bin"/><Relationship Id="rId21" Type="http://schemas.openxmlformats.org/officeDocument/2006/relationships/image" Target="media/image7.wmf"/><Relationship Id="rId22" Type="http://schemas.openxmlformats.org/officeDocument/2006/relationships/oleObject" Target="embeddings/Microsoft_Equation7.bin"/><Relationship Id="rId23" Type="http://schemas.openxmlformats.org/officeDocument/2006/relationships/image" Target="media/image8.wmf"/><Relationship Id="rId24" Type="http://schemas.openxmlformats.org/officeDocument/2006/relationships/oleObject" Target="embeddings/Microsoft_Equation8.bin"/><Relationship Id="rId25" Type="http://schemas.openxmlformats.org/officeDocument/2006/relationships/image" Target="media/image9.wmf"/><Relationship Id="rId26" Type="http://schemas.openxmlformats.org/officeDocument/2006/relationships/oleObject" Target="embeddings/Microsoft_Equation9.bin"/><Relationship Id="rId27" Type="http://schemas.openxmlformats.org/officeDocument/2006/relationships/image" Target="media/image10.png"/><Relationship Id="rId28"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image" Target="media/image12.png"/><Relationship Id="rId32" Type="http://schemas.openxmlformats.org/officeDocument/2006/relationships/image" Target="media/image13.png"/><Relationship Id="rId9" Type="http://schemas.openxmlformats.org/officeDocument/2006/relationships/image" Target="media/image1.w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4.png"/><Relationship Id="rId34" Type="http://schemas.openxmlformats.org/officeDocument/2006/relationships/image" Target="media/image15.pn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oleObject" Target="embeddings/Microsoft_Equation1.bin"/><Relationship Id="rId11" Type="http://schemas.openxmlformats.org/officeDocument/2006/relationships/image" Target="media/image2.wmf"/><Relationship Id="rId12" Type="http://schemas.openxmlformats.org/officeDocument/2006/relationships/oleObject" Target="embeddings/Microsoft_Equation2.bin"/><Relationship Id="rId13" Type="http://schemas.openxmlformats.org/officeDocument/2006/relationships/image" Target="media/image3.wmf"/><Relationship Id="rId14" Type="http://schemas.openxmlformats.org/officeDocument/2006/relationships/oleObject" Target="embeddings/Microsoft_Equation3.bin"/><Relationship Id="rId15" Type="http://schemas.openxmlformats.org/officeDocument/2006/relationships/image" Target="media/image4.wmf"/><Relationship Id="rId16" Type="http://schemas.openxmlformats.org/officeDocument/2006/relationships/oleObject" Target="embeddings/Microsoft_Equation4.bin"/><Relationship Id="rId17" Type="http://schemas.openxmlformats.org/officeDocument/2006/relationships/image" Target="media/image5.wmf"/><Relationship Id="rId18" Type="http://schemas.openxmlformats.org/officeDocument/2006/relationships/oleObject" Target="embeddings/Microsoft_Equation5.bin"/><Relationship Id="rId1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31D4-E7AB-2046-8BEE-F75154F7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876</Words>
  <Characters>4997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Pedro Veiga</cp:lastModifiedBy>
  <cp:revision>2</cp:revision>
  <dcterms:created xsi:type="dcterms:W3CDTF">2016-01-13T06:04:00Z</dcterms:created>
  <dcterms:modified xsi:type="dcterms:W3CDTF">2016-01-13T06:04:00Z</dcterms:modified>
</cp:coreProperties>
</file>